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B7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contextualSpacing w:val="0"/>
        <w:jc w:val="center"/>
        <w:textAlignment w:val="auto"/>
        <w:outlineLvl w:val="9"/>
        <w:rPr>
          <w:rFonts w:ascii="方正小标宋_GBK" w:hAnsi="方正小标宋_GBK" w:eastAsia="方正小标宋_GBK" w:cs="方正小标宋_GBK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52"/>
          <w:highlight w:val="none"/>
        </w:rPr>
        <w:t>431</w:t>
      </w:r>
      <w:r>
        <w:rPr>
          <w:rFonts w:hint="default" w:ascii="方正小标宋_GBK" w:hAnsi="方正小标宋_GBK" w:eastAsia="方正小标宋_GBK" w:cs="方正小标宋_GBK"/>
          <w:color w:val="auto"/>
          <w:sz w:val="44"/>
          <w:szCs w:val="52"/>
          <w:highlight w:val="none"/>
        </w:rPr>
        <w:t>-《金融学综合》考试大纲</w:t>
      </w:r>
    </w:p>
    <w:p w14:paraId="4E214445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56AA88FF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10CD25D0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金融学综合》是金融硕士（MF）专业学位研究生入学统一考试的科目之一。《金融学综合》考试要力求反映金融硕士专业学位的特点，科学、公平、准确、规范地测评考生的基本素质和综合能力，选拔具有发展潜力的优秀人才入学，为国家的经济建设培养具有良好职业道德、具有较强分析与解决实际问题能力的高层次、应用型、复合型的金融专业人才。</w:t>
      </w:r>
    </w:p>
    <w:p w14:paraId="461D3A39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6450C410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测试考生对于与金融学和公司财务相关的基本概念、基础理论的掌握和运用能力。</w:t>
      </w:r>
    </w:p>
    <w:p w14:paraId="4BD9E5BE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三、考试分值</w:t>
      </w:r>
    </w:p>
    <w:p w14:paraId="57200585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本科目满分150分，金融学占60%左右，公司财务占40%左右。</w:t>
      </w:r>
    </w:p>
    <w:p w14:paraId="51C5E2C3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四、试题结构</w:t>
      </w:r>
    </w:p>
    <w:p w14:paraId="4DB47F22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名词解释</w:t>
      </w:r>
    </w:p>
    <w:p w14:paraId="20748BB6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简答</w:t>
      </w:r>
    </w:p>
    <w:p w14:paraId="04622B47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计算</w:t>
      </w:r>
    </w:p>
    <w:p w14:paraId="2D4A8DC1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论述</w:t>
      </w:r>
    </w:p>
    <w:p w14:paraId="7EE67F85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五、考试内容</w:t>
      </w:r>
    </w:p>
    <w:p w14:paraId="54ECF326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（一）金融学</w:t>
      </w:r>
    </w:p>
    <w:p w14:paraId="19F70818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货币与货币制度</w:t>
      </w:r>
    </w:p>
    <w:p w14:paraId="3E5A0F1B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货币的职能与货币制度，国际货币体系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E05F861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利息和利率</w:t>
      </w:r>
    </w:p>
    <w:p w14:paraId="366C4073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利息，利率决定理论，利率的期限结构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738B83C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外汇与汇率</w:t>
      </w:r>
    </w:p>
    <w:p w14:paraId="4B1FD137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外汇，汇率与汇率制度，币值、利率与汇率，汇率决定理论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271452E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金融市场与机构</w:t>
      </w:r>
    </w:p>
    <w:p w14:paraId="64EEA8FB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金融市场及其要素，货币市场，资本市场，衍生工具市场，金融机构（种类、功能）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7D206F8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商业银行与中央银行</w:t>
      </w:r>
    </w:p>
    <w:p w14:paraId="4D721A95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商业银行的负债业务，商业银行的资产业务，商业银行的中间业务和表外业务，商业银行的风险特征，现代货币创造机制，存款货币的创造机制，中央银行职能，中央银行体制下的货币创造过程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843F9EB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货币供求与均衡</w:t>
      </w:r>
    </w:p>
    <w:p w14:paraId="66F2F0CA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货币需求理论，货币供给，货币均衡，通货膨胀与通货紧缩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077D2FE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货币政策</w:t>
      </w:r>
    </w:p>
    <w:p w14:paraId="08C6409B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货币政策及其目标，货币政策工具，货币政策的传导机制和中介指标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E76C784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国际收支与国际资本流动</w:t>
      </w:r>
    </w:p>
    <w:p w14:paraId="20F87D40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国际收支，国际储备，国际资本流动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B6772D2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9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金融监管</w:t>
      </w:r>
    </w:p>
    <w:p w14:paraId="0B9444CB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金融监管理论，巴塞尔协议，金融机构监管，金融市场监管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D91E854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（二）公司财务</w:t>
      </w:r>
    </w:p>
    <w:p w14:paraId="279E6F3C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公司财务概述</w:t>
      </w:r>
    </w:p>
    <w:p w14:paraId="29CF9CE6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什么是公司财务，财务管理目标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982EC95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财务报表分析</w:t>
      </w:r>
    </w:p>
    <w:p w14:paraId="70E7D717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会计报表，财务报表比率分析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04CE2A0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长期财务规划</w:t>
      </w:r>
    </w:p>
    <w:p w14:paraId="6B5BB12C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销售百分比法，外部融资与增长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60DCB950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折现与价值</w:t>
      </w:r>
    </w:p>
    <w:p w14:paraId="1B1A05B7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现金流与折现，债券的估值，股票的估值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99DAED4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资本预算</w:t>
      </w:r>
    </w:p>
    <w:p w14:paraId="10CED707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投资决策方法，增量现金流，净现值运用，资本预算中的风险分析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3C6E26E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风险与收益</w:t>
      </w:r>
    </w:p>
    <w:p w14:paraId="01D8EA4A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风险与收益的度量，均值方差模型，资本资产定价模型，无套利定价模型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74298728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加权平均资本成本</w:t>
      </w:r>
    </w:p>
    <w:p w14:paraId="2B66A355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贝塔（β）的估计，加权平均资本成本（WACC）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CF9FCAB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有效市场假说</w:t>
      </w:r>
    </w:p>
    <w:p w14:paraId="354AF2CD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有效资本市场的概念，有效资本市场的形式，有效市场与公司财务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5C9A9EEC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9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资本结构与公司价值</w:t>
      </w:r>
    </w:p>
    <w:p w14:paraId="264CF6F5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债务融资与股权融资，资本结构，MM 定理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E737762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公司价值评估</w:t>
      </w:r>
    </w:p>
    <w:p w14:paraId="2020DBE5">
      <w:pPr>
        <w:pStyle w:val="5"/>
        <w:spacing w:beforeAutospacing="0" w:afterAutospacing="0" w:line="600" w:lineRule="exact"/>
        <w:ind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公司价值评估的主要方法，三种方法的应用与比较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  <w:bookmarkStart w:id="0" w:name="_GoBack"/>
      <w:bookmarkEnd w:id="0"/>
    </w:p>
    <w:p w14:paraId="4C99201B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11.股利及股利政策</w:t>
      </w:r>
    </w:p>
    <w:p w14:paraId="6D8DD457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12.公司治理</w:t>
      </w:r>
    </w:p>
    <w:p w14:paraId="773E5758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p w14:paraId="4998A9CE">
      <w:pPr>
        <w:pStyle w:val="5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0F50EDB-66DD-4457-866A-3269DA0CABE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BE39F31-0FD5-4125-9F00-D28867967D91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141DF560-79FA-4532-B091-ADED7D6F44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89035C"/>
    <w:rsid w:val="00015B67"/>
    <w:rsid w:val="00027D96"/>
    <w:rsid w:val="00037FA5"/>
    <w:rsid w:val="0006361D"/>
    <w:rsid w:val="0007243B"/>
    <w:rsid w:val="0009571E"/>
    <w:rsid w:val="00096C7A"/>
    <w:rsid w:val="000B1807"/>
    <w:rsid w:val="000C173A"/>
    <w:rsid w:val="000C2A48"/>
    <w:rsid w:val="001021E1"/>
    <w:rsid w:val="00113F53"/>
    <w:rsid w:val="00126F7E"/>
    <w:rsid w:val="00131D4F"/>
    <w:rsid w:val="00133432"/>
    <w:rsid w:val="001361A8"/>
    <w:rsid w:val="00156DEE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2D5E33"/>
    <w:rsid w:val="002E2D86"/>
    <w:rsid w:val="00310721"/>
    <w:rsid w:val="0032409A"/>
    <w:rsid w:val="0034685A"/>
    <w:rsid w:val="003523D0"/>
    <w:rsid w:val="003A3AAC"/>
    <w:rsid w:val="003D569F"/>
    <w:rsid w:val="00403B97"/>
    <w:rsid w:val="00447885"/>
    <w:rsid w:val="00450461"/>
    <w:rsid w:val="00534F11"/>
    <w:rsid w:val="00544567"/>
    <w:rsid w:val="005F2987"/>
    <w:rsid w:val="006013EC"/>
    <w:rsid w:val="00611DB1"/>
    <w:rsid w:val="006242B7"/>
    <w:rsid w:val="00636372"/>
    <w:rsid w:val="006452FD"/>
    <w:rsid w:val="006638D0"/>
    <w:rsid w:val="006E3DF0"/>
    <w:rsid w:val="006E4DCE"/>
    <w:rsid w:val="007138CF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5975"/>
    <w:rsid w:val="009D530A"/>
    <w:rsid w:val="00A112C1"/>
    <w:rsid w:val="00A2472B"/>
    <w:rsid w:val="00A55438"/>
    <w:rsid w:val="00A61819"/>
    <w:rsid w:val="00A63534"/>
    <w:rsid w:val="00AA30DB"/>
    <w:rsid w:val="00AA6CD7"/>
    <w:rsid w:val="00AD4FEF"/>
    <w:rsid w:val="00B01A1F"/>
    <w:rsid w:val="00B45BC5"/>
    <w:rsid w:val="00BA1AFF"/>
    <w:rsid w:val="00BB2D68"/>
    <w:rsid w:val="00BF52D0"/>
    <w:rsid w:val="00C23E21"/>
    <w:rsid w:val="00C64C25"/>
    <w:rsid w:val="00CD128A"/>
    <w:rsid w:val="00D165E2"/>
    <w:rsid w:val="00D474A9"/>
    <w:rsid w:val="00D54D0E"/>
    <w:rsid w:val="00D83EE9"/>
    <w:rsid w:val="00DA06E2"/>
    <w:rsid w:val="00DB4731"/>
    <w:rsid w:val="00DC1F90"/>
    <w:rsid w:val="00DD540B"/>
    <w:rsid w:val="00DE449E"/>
    <w:rsid w:val="00E31692"/>
    <w:rsid w:val="00E533D7"/>
    <w:rsid w:val="00E96B60"/>
    <w:rsid w:val="00EA0CCC"/>
    <w:rsid w:val="00ED0991"/>
    <w:rsid w:val="00F00D96"/>
    <w:rsid w:val="00F01C77"/>
    <w:rsid w:val="00F21F89"/>
    <w:rsid w:val="00F5109D"/>
    <w:rsid w:val="00F82FCF"/>
    <w:rsid w:val="00F95004"/>
    <w:rsid w:val="00FA551D"/>
    <w:rsid w:val="0D4A73A3"/>
    <w:rsid w:val="0E560170"/>
    <w:rsid w:val="20710701"/>
    <w:rsid w:val="2CE75D37"/>
    <w:rsid w:val="310F1BDD"/>
    <w:rsid w:val="32560D2E"/>
    <w:rsid w:val="43941094"/>
    <w:rsid w:val="500D7F83"/>
    <w:rsid w:val="7214383E"/>
    <w:rsid w:val="72DC2CA4"/>
    <w:rsid w:val="79F4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样式1"/>
    <w:basedOn w:val="1"/>
    <w:qFormat/>
    <w:uiPriority w:val="0"/>
    <w:pPr>
      <w:spacing w:line="360" w:lineRule="auto"/>
      <w:jc w:val="left"/>
    </w:pPr>
    <w:rPr>
      <w:rFonts w:ascii="Times New Roman" w:hAnsi="Times New Roman" w:eastAsia="黑体" w:cs="Times New Roman"/>
      <w:sz w:val="24"/>
      <w:szCs w:val="24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338C4-16B1-4F20-886C-BBD75E13D5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992</Words>
  <Characters>1030</Characters>
  <Lines>7</Lines>
  <Paragraphs>2</Paragraphs>
  <TotalTime>25</TotalTime>
  <ScaleCrop>false</ScaleCrop>
  <LinksUpToDate>false</LinksUpToDate>
  <CharactersWithSpaces>1031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2014-09-24T02:56:00Z</dcterms:created>
  <dc:creator>admin</dc:creator>
  <cp:lastModifiedBy>澄澈</cp:lastModifiedBy>
  <dcterms:modified xsi:type="dcterms:W3CDTF">2026-08-04T13:03:12Z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4EF4B1648B594083BA3D4E707D122B09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