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6DECB1">
      <w:pPr>
        <w:snapToGrid/>
        <w:spacing w:line="600" w:lineRule="exact"/>
        <w:contextualSpacing w:val="0"/>
        <w:jc w:val="center"/>
        <w:outlineLvl w:val="9"/>
        <w:rPr>
          <w:rFonts w:ascii="方正小标宋_GBK" w:hAnsi="方正小标宋_GBK" w:eastAsia="方正小标宋_GBK" w:cs="方正小标宋_GBK"/>
          <w:b w:val="0"/>
          <w:color w:val="auto"/>
          <w:sz w:val="44"/>
          <w:szCs w:val="52"/>
          <w:highlight w:val="none"/>
        </w:rPr>
      </w:pPr>
      <w:r>
        <w:rPr>
          <w:rFonts w:hint="default" w:ascii="Times New Roman" w:hAnsi="Times New Roman" w:eastAsia="方正小标宋_GBK" w:cs="Times New Roman"/>
          <w:b w:val="0"/>
          <w:color w:val="auto"/>
          <w:sz w:val="44"/>
          <w:szCs w:val="52"/>
          <w:highlight w:val="none"/>
        </w:rPr>
        <w:t>434</w:t>
      </w:r>
      <w:r>
        <w:rPr>
          <w:rFonts w:hint="default" w:ascii="方正小标宋_GBK" w:hAnsi="方正小标宋_GBK" w:eastAsia="方正小标宋_GBK" w:cs="方正小标宋_GBK"/>
          <w:b w:val="0"/>
          <w:color w:val="auto"/>
          <w:sz w:val="44"/>
          <w:szCs w:val="52"/>
          <w:highlight w:val="none"/>
        </w:rPr>
        <w:t>-《国际商务专业基础》考试大纲</w:t>
      </w:r>
    </w:p>
    <w:p w14:paraId="2B54029F">
      <w:pPr>
        <w:pStyle w:val="4"/>
        <w:spacing w:beforeAutospacing="0" w:afterAutospacing="0" w:line="600" w:lineRule="exact"/>
        <w:ind w:firstLineChars="200"/>
        <w:jc w:val="both"/>
        <w:rPr>
          <w:rFonts w:hint="default" w:ascii="Times New Roman" w:hAnsi="Times New Roman" w:eastAsia="方正仿宋_GBK" w:cs="方正仿宋_GBK"/>
          <w:b w:val="0"/>
          <w:color w:val="FF0000"/>
          <w:kern w:val="2"/>
          <w:sz w:val="32"/>
          <w:szCs w:val="32"/>
          <w:highlight w:val="none"/>
          <w:lang w:bidi="ar-SA"/>
        </w:rPr>
      </w:pPr>
      <w:r>
        <w:rPr>
          <w:rFonts w:hint="default" w:ascii="Times New Roman" w:hAnsi="Times New Roman" w:eastAsia="方正仿宋_GBK" w:cs="方正仿宋_GBK"/>
          <w:color w:val="FF0000"/>
          <w:kern w:val="2"/>
          <w:sz w:val="32"/>
          <w:szCs w:val="32"/>
          <w:highlight w:val="none"/>
          <w:lang w:bidi="ar-SA"/>
        </w:rPr>
        <w:t>（研究生招生考试属于择优选拔性考试，考试大纲及书目仅供参考，考试内容及题型可包括但不仅限于以上范围，主要考察考生分析和解决问题的能力。）</w:t>
      </w:r>
      <w:bookmarkStart w:id="0" w:name="_GoBack"/>
      <w:bookmarkEnd w:id="0"/>
    </w:p>
    <w:p w14:paraId="73C76040">
      <w:pPr>
        <w:widowControl w:val="0"/>
        <w:spacing w:line="600" w:lineRule="exact"/>
        <w:ind w:firstLineChars="200"/>
        <w:jc w:val="both"/>
        <w:outlineLvl w:val="9"/>
        <w:rPr>
          <w:rFonts w:hint="default" w:ascii="Times New Roman" w:hAnsi="Times New Roman" w:eastAsia="方正黑体_GBK" w:cs="Times New Roman"/>
          <w:color w:val="auto"/>
          <w:kern w:val="2"/>
          <w:sz w:val="32"/>
          <w:szCs w:val="40"/>
          <w:highlight w:val="none"/>
          <w:lang w:bidi="ar-SA"/>
        </w:rPr>
      </w:pPr>
      <w:r>
        <w:rPr>
          <w:rFonts w:hint="default" w:ascii="Times New Roman" w:hAnsi="Times New Roman" w:eastAsia="方正黑体_GBK" w:cs="Times New Roman"/>
          <w:color w:val="auto"/>
          <w:kern w:val="2"/>
          <w:sz w:val="32"/>
          <w:szCs w:val="40"/>
          <w:highlight w:val="none"/>
          <w:lang w:bidi="ar-SA"/>
        </w:rPr>
        <w:t>一、考试性质</w:t>
      </w:r>
    </w:p>
    <w:p w14:paraId="532E26FC">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国际商务专业基础》是国际商务硕士（MIB）专业学位研究生入学统一考试的科目之一。《国际商务专业基础》考试要力求反映国际商务硕士专业学位的特点，科学、公平、准确、规范地测评考生的专业基础素质和综合能力，以利于选拔具有发展潜力的优秀人才入学，为国家开放型经济体系建设培养具有良好职业操守和国际视野、具有较强跨文化沟通以及分析与解决实际问题能力的高层次、应用型、复合型国际商务专业人才。</w:t>
      </w:r>
    </w:p>
    <w:p w14:paraId="2F842566">
      <w:pPr>
        <w:widowControl w:val="0"/>
        <w:spacing w:line="600" w:lineRule="exact"/>
        <w:ind w:firstLineChars="200"/>
        <w:jc w:val="both"/>
        <w:outlineLvl w:val="9"/>
        <w:rPr>
          <w:rFonts w:hint="default" w:ascii="Times New Roman" w:hAnsi="Times New Roman" w:eastAsia="方正黑体_GBK" w:cs="Times New Roman"/>
          <w:color w:val="auto"/>
          <w:kern w:val="2"/>
          <w:sz w:val="32"/>
          <w:szCs w:val="40"/>
          <w:highlight w:val="none"/>
          <w:lang w:bidi="ar-SA"/>
        </w:rPr>
      </w:pPr>
      <w:r>
        <w:rPr>
          <w:rFonts w:hint="default" w:ascii="Times New Roman" w:hAnsi="Times New Roman" w:eastAsia="方正黑体_GBK" w:cs="Times New Roman"/>
          <w:color w:val="auto"/>
          <w:kern w:val="2"/>
          <w:sz w:val="32"/>
          <w:szCs w:val="40"/>
          <w:highlight w:val="none"/>
          <w:lang w:bidi="ar-SA"/>
        </w:rPr>
        <w:t>二、考试要求</w:t>
      </w:r>
    </w:p>
    <w:p w14:paraId="5BF00F19">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测试考生对于国际商务相关的基本概念、基本理论、基础知识的掌握情况以及综合运用分析和解决国际商务现实问题的能力。</w:t>
      </w:r>
    </w:p>
    <w:p w14:paraId="116308DC">
      <w:pPr>
        <w:widowControl w:val="0"/>
        <w:spacing w:line="600" w:lineRule="exact"/>
        <w:ind w:firstLineChars="200"/>
        <w:jc w:val="both"/>
        <w:outlineLvl w:val="9"/>
        <w:rPr>
          <w:rFonts w:hint="default" w:ascii="Times New Roman" w:hAnsi="Times New Roman" w:eastAsia="方正黑体_GBK" w:cs="Times New Roman"/>
          <w:color w:val="auto"/>
          <w:kern w:val="2"/>
          <w:sz w:val="32"/>
          <w:szCs w:val="40"/>
          <w:highlight w:val="none"/>
          <w:lang w:bidi="ar-SA"/>
        </w:rPr>
      </w:pPr>
      <w:r>
        <w:rPr>
          <w:rFonts w:hint="default" w:ascii="Times New Roman" w:hAnsi="Times New Roman" w:eastAsia="方正黑体_GBK" w:cs="Times New Roman"/>
          <w:color w:val="auto"/>
          <w:kern w:val="2"/>
          <w:sz w:val="32"/>
          <w:szCs w:val="40"/>
          <w:highlight w:val="none"/>
          <w:lang w:bidi="ar-SA"/>
        </w:rPr>
        <w:t>三、考试方式与分值</w:t>
      </w:r>
    </w:p>
    <w:p w14:paraId="30E71825">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本科目满分150分，考试时间180分钟。</w:t>
      </w:r>
    </w:p>
    <w:p w14:paraId="2F45C93B">
      <w:pPr>
        <w:widowControl w:val="0"/>
        <w:spacing w:line="600" w:lineRule="exact"/>
        <w:ind w:firstLineChars="200"/>
        <w:jc w:val="both"/>
        <w:outlineLvl w:val="9"/>
        <w:rPr>
          <w:rFonts w:hint="default" w:ascii="Times New Roman" w:hAnsi="Times New Roman" w:eastAsia="方正黑体_GBK" w:cs="Times New Roman"/>
          <w:color w:val="auto"/>
          <w:kern w:val="2"/>
          <w:sz w:val="32"/>
          <w:szCs w:val="40"/>
          <w:highlight w:val="none"/>
          <w:lang w:bidi="ar-SA"/>
        </w:rPr>
      </w:pPr>
      <w:r>
        <w:rPr>
          <w:rFonts w:hint="default" w:ascii="Times New Roman" w:hAnsi="Times New Roman" w:eastAsia="方正黑体_GBK" w:cs="Times New Roman"/>
          <w:color w:val="auto"/>
          <w:kern w:val="2"/>
          <w:sz w:val="32"/>
          <w:szCs w:val="40"/>
          <w:highlight w:val="none"/>
          <w:lang w:bidi="ar-SA"/>
        </w:rPr>
        <w:t>四、考试内容</w:t>
      </w:r>
    </w:p>
    <w:p w14:paraId="3708A50B">
      <w:pPr>
        <w:pStyle w:val="4"/>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第一部分 国际商务理论与应用</w:t>
      </w:r>
    </w:p>
    <w:p w14:paraId="7FC1AD38">
      <w:pPr>
        <w:pStyle w:val="4"/>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第一章 国际商务的基本内涵和学科发展</w:t>
      </w:r>
    </w:p>
    <w:p w14:paraId="437212F4">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第一节 国际商务的基本内涵</w:t>
      </w:r>
    </w:p>
    <w:p w14:paraId="1B35DD63">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第二节 国际商务的学科发展</w:t>
      </w:r>
    </w:p>
    <w:p w14:paraId="47E341FB">
      <w:pPr>
        <w:pStyle w:val="4"/>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第二章 国际商务的经典理论</w:t>
      </w:r>
    </w:p>
    <w:p w14:paraId="5BBB9A46">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第一节 垄断优势理论</w:t>
      </w:r>
    </w:p>
    <w:p w14:paraId="0059D544">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第二节 内部化理论</w:t>
      </w:r>
    </w:p>
    <w:p w14:paraId="15B6258E">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第三节 国际生产折衷理论</w:t>
      </w:r>
    </w:p>
    <w:p w14:paraId="21224381">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第四节 国际商务理论的发展演进</w:t>
      </w:r>
    </w:p>
    <w:p w14:paraId="44C1A8C5">
      <w:pPr>
        <w:pStyle w:val="4"/>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第三章 国际商务的前沿理论及应用</w:t>
      </w:r>
    </w:p>
    <w:p w14:paraId="52E5FFF8">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第一节 制度理论</w:t>
      </w:r>
    </w:p>
    <w:p w14:paraId="3CC9AEFE">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 xml:space="preserve">第二节 社会网络理论 </w:t>
      </w:r>
    </w:p>
    <w:p w14:paraId="277BA48A">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第三节 资源基础理论</w:t>
      </w:r>
    </w:p>
    <w:p w14:paraId="1E6F18BE">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第四节 吸收能力理论</w:t>
      </w:r>
    </w:p>
    <w:p w14:paraId="428E5FC3">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第五节 渐进式国际化与国际新创理论</w:t>
      </w:r>
    </w:p>
    <w:p w14:paraId="5ADD8D10">
      <w:pPr>
        <w:pStyle w:val="4"/>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第二部分 国际贸易理论与政策</w:t>
      </w:r>
    </w:p>
    <w:p w14:paraId="51C40AF0">
      <w:pPr>
        <w:pStyle w:val="4"/>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第一章 国际贸易理论</w:t>
      </w:r>
    </w:p>
    <w:p w14:paraId="6A6AF62E">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第一节 古典贸易理论</w:t>
      </w:r>
    </w:p>
    <w:p w14:paraId="5C2B58A6">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第二节 新古典贸易理论</w:t>
      </w:r>
    </w:p>
    <w:p w14:paraId="308B8ED9">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第三节 贸易保护理论</w:t>
      </w:r>
    </w:p>
    <w:p w14:paraId="5FDE05A5">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第四节 新贸易理论</w:t>
      </w:r>
    </w:p>
    <w:p w14:paraId="07ECC2F3">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第五节 国际贸易理论发展新动态</w:t>
      </w:r>
    </w:p>
    <w:p w14:paraId="450C1CF1">
      <w:pPr>
        <w:pStyle w:val="4"/>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第二章 国际贸易政策与壁垒</w:t>
      </w:r>
    </w:p>
    <w:p w14:paraId="2FE86C2D">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第一节 幼稚产业保护政策</w:t>
      </w:r>
    </w:p>
    <w:p w14:paraId="1ED992B5">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第二节 战略性贸易政策</w:t>
      </w:r>
    </w:p>
    <w:p w14:paraId="2B2919F6">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第三节 国际贸易促进和管制政策</w:t>
      </w:r>
    </w:p>
    <w:p w14:paraId="5653284A">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第四节 关税及非关税壁垒</w:t>
      </w:r>
    </w:p>
    <w:p w14:paraId="57B72968">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第五节 国际贸易摩擦</w:t>
      </w:r>
    </w:p>
    <w:p w14:paraId="56E5545F">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第六节 国际贸易中的知识产权保护与环境保护政策</w:t>
      </w:r>
    </w:p>
    <w:p w14:paraId="3FC45729">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第七节 国际贸易政策的历史演变及发展新趋势</w:t>
      </w:r>
    </w:p>
    <w:p w14:paraId="09C401FE">
      <w:pPr>
        <w:pStyle w:val="4"/>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第三章 货物贸易与服务贸易</w:t>
      </w:r>
    </w:p>
    <w:p w14:paraId="0BFB465F">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第一节 货物贸易及其类型</w:t>
      </w:r>
    </w:p>
    <w:p w14:paraId="51B92248">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 xml:space="preserve">第二节 服务贸易与服务外包 </w:t>
      </w:r>
    </w:p>
    <w:p w14:paraId="2C34DC92">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第三节 技术贸易与国际劳务合作</w:t>
      </w:r>
    </w:p>
    <w:p w14:paraId="721D2A34">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第四节 国际贸易的创新方式及新兴贸易业态</w:t>
      </w:r>
    </w:p>
    <w:p w14:paraId="1169C6DA">
      <w:pPr>
        <w:pStyle w:val="4"/>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第四章 区域经济一体化与多边贸易体制</w:t>
      </w:r>
    </w:p>
    <w:p w14:paraId="032DF4AD">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第一节 经济全球化与世界贸易组织</w:t>
      </w:r>
    </w:p>
    <w:p w14:paraId="441FCE62">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第二节 区域经济一体化类型与实践</w:t>
      </w:r>
    </w:p>
    <w:p w14:paraId="22DBFC42">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第三节 自由贸易区与自由贸易协定</w:t>
      </w:r>
    </w:p>
    <w:p w14:paraId="082321FE">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第四节 “一带一路”倡议</w:t>
      </w:r>
    </w:p>
    <w:p w14:paraId="1337DED0">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第五节 自由贸易试验区与自由贸易港 </w:t>
      </w:r>
    </w:p>
    <w:p w14:paraId="0E368050">
      <w:pPr>
        <w:pStyle w:val="4"/>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第三部分  国际直接投资与跨国公司</w:t>
      </w:r>
    </w:p>
    <w:p w14:paraId="72BCA2BA">
      <w:pPr>
        <w:pStyle w:val="4"/>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第一章 国际直接投资</w:t>
      </w:r>
    </w:p>
    <w:p w14:paraId="651B4E88">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第一节 国际直接投资方式、动因与模式</w:t>
      </w:r>
    </w:p>
    <w:p w14:paraId="4CEA9B0D">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第二节 国际直接投资的收益与成本</w:t>
      </w:r>
    </w:p>
    <w:p w14:paraId="5608C53D">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第三节 中国及全球国际直接投资发展概况</w:t>
      </w:r>
    </w:p>
    <w:p w14:paraId="0FFEF36F">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第四节 政府政策工具与国际直接投资</w:t>
      </w:r>
    </w:p>
    <w:p w14:paraId="719D6EA7">
      <w:pPr>
        <w:pStyle w:val="4"/>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第二章 国际企业的战略与组织结构</w:t>
      </w:r>
    </w:p>
    <w:p w14:paraId="746E4EDC">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第一节 国际企业的战略</w:t>
      </w:r>
    </w:p>
    <w:p w14:paraId="394FDE59">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第二节 国际企业的组织</w:t>
      </w:r>
    </w:p>
    <w:p w14:paraId="73AD41CD">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第三节 进入战略和战略联盟</w:t>
      </w:r>
    </w:p>
    <w:p w14:paraId="7F1E58EA">
      <w:pPr>
        <w:pStyle w:val="4"/>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第三章 中国企业国际化与制度演进</w:t>
      </w:r>
    </w:p>
    <w:p w14:paraId="461EF4C9">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第一节 中国企业国际化的内涵及范畴</w:t>
      </w:r>
    </w:p>
    <w:p w14:paraId="74DB4C62">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第二节 中国企业国际化的发展历程</w:t>
      </w:r>
    </w:p>
    <w:p w14:paraId="1925000F">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第三节 中国企业国际化面临的机遇及挑战</w:t>
      </w:r>
    </w:p>
    <w:p w14:paraId="0CEC0E64">
      <w:pPr>
        <w:pStyle w:val="4"/>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第四部分 国际金融</w:t>
      </w:r>
    </w:p>
    <w:p w14:paraId="03071BAB">
      <w:pPr>
        <w:pStyle w:val="4"/>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第一章 国际货币体系与汇率制度</w:t>
      </w:r>
    </w:p>
    <w:p w14:paraId="3C2AD31D">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第一节 金本位制度</w:t>
      </w:r>
    </w:p>
    <w:p w14:paraId="3B30BAF4">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第二节 布雷顿森林体系</w:t>
      </w:r>
    </w:p>
    <w:p w14:paraId="013A139E">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第三节 固定及浮动汇率制度</w:t>
      </w:r>
    </w:p>
    <w:p w14:paraId="67CAB3F5">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第四节 国际货币体系及其改革</w:t>
      </w:r>
    </w:p>
    <w:p w14:paraId="2552DA65">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第五节 人民币汇率改革</w:t>
      </w:r>
    </w:p>
    <w:p w14:paraId="4EAF01CC">
      <w:pPr>
        <w:pStyle w:val="4"/>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第二章 外汇市场、外汇业务与风险</w:t>
      </w:r>
    </w:p>
    <w:p w14:paraId="0A30DE6F">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第一节 外汇市场与外汇业务</w:t>
      </w:r>
    </w:p>
    <w:p w14:paraId="40659E8D">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第二节 汇率决定</w:t>
      </w:r>
    </w:p>
    <w:p w14:paraId="23CFE1ED">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第三节 外汇风险</w:t>
      </w:r>
    </w:p>
    <w:p w14:paraId="2C7FAFF2">
      <w:pPr>
        <w:pStyle w:val="4"/>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第三章 国际金融市场</w:t>
      </w:r>
    </w:p>
    <w:p w14:paraId="765AF11E">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第一节 国际金融市场概述</w:t>
      </w:r>
    </w:p>
    <w:p w14:paraId="37D81AC6">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第二节 国际货币市场</w:t>
      </w:r>
    </w:p>
    <w:p w14:paraId="714B74C5">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第三节 国际债券市场</w:t>
      </w:r>
    </w:p>
    <w:p w14:paraId="7DA8433C">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第四节 国际股票市场</w:t>
      </w:r>
    </w:p>
    <w:p w14:paraId="1A078A2E">
      <w:pPr>
        <w:pStyle w:val="4"/>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第四章 国际金融危机</w:t>
      </w:r>
    </w:p>
    <w:p w14:paraId="15FCEB03">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第一节 国际金融危机的由来及根源</w:t>
      </w:r>
    </w:p>
    <w:p w14:paraId="68C223F2">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第二节 国际金融危机的影响及应对策略</w:t>
      </w:r>
    </w:p>
    <w:p w14:paraId="53D1CDC0">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第三节 国际金融创新</w:t>
      </w:r>
    </w:p>
    <w:p w14:paraId="7317976D">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第四节 国际金融体系改革</w:t>
      </w:r>
    </w:p>
    <w:p w14:paraId="064EF17A">
      <w:pPr>
        <w:pStyle w:val="4"/>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第五部分 国际商务环境与运营</w:t>
      </w:r>
    </w:p>
    <w:p w14:paraId="72989321">
      <w:pPr>
        <w:pStyle w:val="4"/>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第一章 国际商务环境</w:t>
      </w:r>
    </w:p>
    <w:p w14:paraId="127A106A">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第一节 国家政治、经济、法律及文化差异</w:t>
      </w:r>
    </w:p>
    <w:p w14:paraId="049B9EAE">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第二节 国际商业伦理</w:t>
      </w:r>
    </w:p>
    <w:p w14:paraId="6F39B37F">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第三节 跨国企业社会责任</w:t>
      </w:r>
    </w:p>
    <w:p w14:paraId="536346BA">
      <w:pPr>
        <w:pStyle w:val="4"/>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第二章 国际营销与研发</w:t>
      </w:r>
    </w:p>
    <w:p w14:paraId="6B43617C">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第一节 国际市场选择与开发</w:t>
      </w:r>
    </w:p>
    <w:p w14:paraId="11D34BF2">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第二节 品牌全球化与营销策略</w:t>
      </w:r>
    </w:p>
    <w:p w14:paraId="4AAC5239">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第三节 新产品研发</w:t>
      </w:r>
    </w:p>
    <w:p w14:paraId="09BDC212">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第四节 数字经济与跨境电商</w:t>
      </w:r>
    </w:p>
    <w:p w14:paraId="5805F4CE">
      <w:pPr>
        <w:pStyle w:val="4"/>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第三章 国际物流与供应链管理</w:t>
      </w:r>
    </w:p>
    <w:p w14:paraId="4C6B355A">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第一节 国际物流定义与问题</w:t>
      </w:r>
    </w:p>
    <w:p w14:paraId="5023BEF4">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第二节 国际物流与供应链管理</w:t>
      </w:r>
    </w:p>
    <w:p w14:paraId="7091EE8F">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第三节 全球采购与智能化管理</w:t>
      </w:r>
    </w:p>
    <w:p w14:paraId="5A4ED38E">
      <w:pPr>
        <w:pStyle w:val="4"/>
        <w:spacing w:beforeAutospacing="0" w:afterAutospacing="0" w:line="600" w:lineRule="exact"/>
        <w:ind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第四章 国际组织行为与人力资源管理</w:t>
      </w:r>
    </w:p>
    <w:p w14:paraId="1FF1C255">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第一节 国际组织行为与管理实践</w:t>
      </w:r>
    </w:p>
    <w:p w14:paraId="27062049">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第二节 国际人力资源管理</w:t>
      </w:r>
    </w:p>
    <w:p w14:paraId="07DE4E13">
      <w:pPr>
        <w:pStyle w:val="4"/>
        <w:spacing w:beforeAutospacing="0" w:afterAutospacing="0" w:line="600" w:lineRule="exact"/>
        <w:ind w:firstLineChars="200"/>
        <w:jc w:val="both"/>
        <w:rPr>
          <w:rFonts w:hint="default" w:ascii="Times New Roman" w:hAnsi="Times New Roman" w:eastAsia="方正仿宋_GBK" w:cs="方正仿宋_GBK"/>
          <w:color w:val="auto"/>
          <w:kern w:val="2"/>
          <w:sz w:val="32"/>
          <w:szCs w:val="32"/>
          <w:highlight w:val="none"/>
          <w:lang w:bidi="ar-SA"/>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32540814-71B7-45A2-A7A8-24FFCDFC0D9D}"/>
  </w:font>
  <w:font w:name="方正小标宋_GBK">
    <w:panose1 w:val="02000000000000000000"/>
    <w:charset w:val="86"/>
    <w:family w:val="auto"/>
    <w:pitch w:val="default"/>
    <w:sig w:usb0="A00002BF" w:usb1="38CF7CFA" w:usb2="00082016" w:usb3="00000000" w:csb0="00040001" w:csb1="00000000"/>
    <w:embedRegular r:id="rId2" w:fontKey="{861A69AB-1AF7-48A0-B170-F9FA221F220A}"/>
  </w:font>
  <w:font w:name="方正仿宋_GBK">
    <w:panose1 w:val="02000000000000000000"/>
    <w:charset w:val="86"/>
    <w:family w:val="auto"/>
    <w:pitch w:val="default"/>
    <w:sig w:usb0="A00002BF" w:usb1="38CF7CFA" w:usb2="00082016" w:usb3="00000000" w:csb0="00040001" w:csb1="00000000"/>
    <w:embedRegular r:id="rId3" w:fontKey="{E010726B-7AF1-41D6-94DB-3742E022935C}"/>
  </w:font>
  <w:font w:name="方正黑体_GBK">
    <w:panose1 w:val="02010600010101010101"/>
    <w:charset w:val="86"/>
    <w:family w:val="script"/>
    <w:pitch w:val="default"/>
    <w:sig w:usb0="00000001" w:usb1="080E0000" w:usb2="00000000" w:usb3="00000000" w:csb0="00040000" w:csb1="00000000"/>
    <w:embedRegular r:id="rId4" w:fontKey="{56A1DD74-AFE3-4823-A0D2-0C3DF2DAA833}"/>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4176B">
    <w:pPr>
      <w:pStyle w:val="2"/>
      <w:jc w:val="center"/>
    </w:pPr>
  </w:p>
  <w:p w14:paraId="3F56C3FC">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35C"/>
    <w:rsid w:val="00015B67"/>
    <w:rsid w:val="00037FA5"/>
    <w:rsid w:val="00047635"/>
    <w:rsid w:val="0006361D"/>
    <w:rsid w:val="0007243B"/>
    <w:rsid w:val="0009571E"/>
    <w:rsid w:val="000B1807"/>
    <w:rsid w:val="000C2A48"/>
    <w:rsid w:val="001021E1"/>
    <w:rsid w:val="00126F7E"/>
    <w:rsid w:val="00133432"/>
    <w:rsid w:val="001361A8"/>
    <w:rsid w:val="00156DEE"/>
    <w:rsid w:val="001574C7"/>
    <w:rsid w:val="00161536"/>
    <w:rsid w:val="001D3768"/>
    <w:rsid w:val="001E10A0"/>
    <w:rsid w:val="00200BD7"/>
    <w:rsid w:val="002339C2"/>
    <w:rsid w:val="002435EA"/>
    <w:rsid w:val="002832DB"/>
    <w:rsid w:val="00290BCC"/>
    <w:rsid w:val="002C0860"/>
    <w:rsid w:val="002C376C"/>
    <w:rsid w:val="002E2D86"/>
    <w:rsid w:val="002E6EC4"/>
    <w:rsid w:val="00304A6E"/>
    <w:rsid w:val="00310721"/>
    <w:rsid w:val="0032409A"/>
    <w:rsid w:val="0034685A"/>
    <w:rsid w:val="003523D0"/>
    <w:rsid w:val="003A15C2"/>
    <w:rsid w:val="003A3AAC"/>
    <w:rsid w:val="003D569F"/>
    <w:rsid w:val="00403B97"/>
    <w:rsid w:val="0042463F"/>
    <w:rsid w:val="00447885"/>
    <w:rsid w:val="00450461"/>
    <w:rsid w:val="00490738"/>
    <w:rsid w:val="004C513B"/>
    <w:rsid w:val="00534F11"/>
    <w:rsid w:val="005F2987"/>
    <w:rsid w:val="006013EC"/>
    <w:rsid w:val="00611DB1"/>
    <w:rsid w:val="006242B7"/>
    <w:rsid w:val="00636372"/>
    <w:rsid w:val="006452FD"/>
    <w:rsid w:val="00652D97"/>
    <w:rsid w:val="006638D0"/>
    <w:rsid w:val="006C17A6"/>
    <w:rsid w:val="006E3DF0"/>
    <w:rsid w:val="006E4DCE"/>
    <w:rsid w:val="007138CF"/>
    <w:rsid w:val="00747C00"/>
    <w:rsid w:val="007522B3"/>
    <w:rsid w:val="00755916"/>
    <w:rsid w:val="00794E77"/>
    <w:rsid w:val="007E1586"/>
    <w:rsid w:val="00811CA6"/>
    <w:rsid w:val="008653E1"/>
    <w:rsid w:val="0089035C"/>
    <w:rsid w:val="008A17C3"/>
    <w:rsid w:val="008A5DF0"/>
    <w:rsid w:val="008C2853"/>
    <w:rsid w:val="008E045A"/>
    <w:rsid w:val="008E3C3C"/>
    <w:rsid w:val="00901E51"/>
    <w:rsid w:val="00925D07"/>
    <w:rsid w:val="00935975"/>
    <w:rsid w:val="00942582"/>
    <w:rsid w:val="009D2C1B"/>
    <w:rsid w:val="009D530A"/>
    <w:rsid w:val="00A112C1"/>
    <w:rsid w:val="00A1646B"/>
    <w:rsid w:val="00A2472B"/>
    <w:rsid w:val="00A55438"/>
    <w:rsid w:val="00A61819"/>
    <w:rsid w:val="00A63534"/>
    <w:rsid w:val="00A81B70"/>
    <w:rsid w:val="00AA30DB"/>
    <w:rsid w:val="00AA6CD7"/>
    <w:rsid w:val="00AD4FEF"/>
    <w:rsid w:val="00B01A1F"/>
    <w:rsid w:val="00B45BC5"/>
    <w:rsid w:val="00B47CCA"/>
    <w:rsid w:val="00B679CC"/>
    <w:rsid w:val="00BA1AFF"/>
    <w:rsid w:val="00BB2D68"/>
    <w:rsid w:val="00BF52D0"/>
    <w:rsid w:val="00C23E21"/>
    <w:rsid w:val="00C64C25"/>
    <w:rsid w:val="00C67A48"/>
    <w:rsid w:val="00CD128A"/>
    <w:rsid w:val="00D474A9"/>
    <w:rsid w:val="00D54D0E"/>
    <w:rsid w:val="00D83EE9"/>
    <w:rsid w:val="00DB4731"/>
    <w:rsid w:val="00DC1F90"/>
    <w:rsid w:val="00DD3BAA"/>
    <w:rsid w:val="00DE449E"/>
    <w:rsid w:val="00DF511B"/>
    <w:rsid w:val="00E255F3"/>
    <w:rsid w:val="00E31692"/>
    <w:rsid w:val="00E42F89"/>
    <w:rsid w:val="00E533D7"/>
    <w:rsid w:val="00E96B60"/>
    <w:rsid w:val="00EA0CCC"/>
    <w:rsid w:val="00EA51AB"/>
    <w:rsid w:val="00EC07F7"/>
    <w:rsid w:val="00EE1DC1"/>
    <w:rsid w:val="00F00D96"/>
    <w:rsid w:val="00F01C77"/>
    <w:rsid w:val="00F21F89"/>
    <w:rsid w:val="00F5109D"/>
    <w:rsid w:val="00F82FCF"/>
    <w:rsid w:val="00F95004"/>
    <w:rsid w:val="00FA551D"/>
    <w:rsid w:val="1946165A"/>
    <w:rsid w:val="1C6A3F7A"/>
    <w:rsid w:val="251166DB"/>
    <w:rsid w:val="37CA31E3"/>
    <w:rsid w:val="6738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bCs/>
    </w:rPr>
  </w:style>
  <w:style w:type="character" w:customStyle="1" w:styleId="8">
    <w:name w:val="页眉 字符"/>
    <w:basedOn w:val="6"/>
    <w:link w:val="3"/>
    <w:qFormat/>
    <w:uiPriority w:val="99"/>
    <w:rPr>
      <w:sz w:val="18"/>
      <w:szCs w:val="18"/>
    </w:rPr>
  </w:style>
  <w:style w:type="character" w:customStyle="1" w:styleId="9">
    <w:name w:val="页脚 字符"/>
    <w:basedOn w:val="6"/>
    <w:link w:val="2"/>
    <w:uiPriority w:val="99"/>
    <w:rPr>
      <w:sz w:val="18"/>
      <w:szCs w:val="18"/>
    </w:rPr>
  </w:style>
  <w:style w:type="paragraph" w:customStyle="1" w:styleId="10">
    <w:name w:val="样式1"/>
    <w:basedOn w:val="1"/>
    <w:qFormat/>
    <w:uiPriority w:val="0"/>
    <w:pPr>
      <w:spacing w:line="360" w:lineRule="auto"/>
      <w:jc w:val="left"/>
    </w:pPr>
    <w:rPr>
      <w:rFonts w:ascii="Times New Roman" w:hAnsi="Times New Roman" w:eastAsia="黑体" w:cs="Times New Roman"/>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F185C-1072-463D-B692-4E654201A98E}">
  <ds:schemaRefs/>
</ds:datastoreItem>
</file>

<file path=docProps/app.xml><?xml version="1.0" encoding="utf-8"?>
<Properties xmlns="http://schemas.openxmlformats.org/officeDocument/2006/extended-properties" xmlns:vt="http://schemas.openxmlformats.org/officeDocument/2006/docPropsVTypes">
  <Template>Normal</Template>
  <Pages>5</Pages>
  <Words>1513</Words>
  <Characters>1522</Characters>
  <Lines>12</Lines>
  <Paragraphs>3</Paragraphs>
  <TotalTime>3</TotalTime>
  <ScaleCrop>false</ScaleCrop>
  <LinksUpToDate>false</LinksUpToDate>
  <CharactersWithSpaces>1619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2022-06-12T17:03:00Z</dcterms:created>
  <dc:creator>admin</dc:creator>
  <cp:lastModifiedBy>澄澈</cp:lastModifiedBy>
  <dcterms:modified xsi:type="dcterms:W3CDTF">2026-08-04T12:58:18Z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eyJoZGlkIjoiMDRkNzk5ODkxNzIxNmZhOGM3YmMyZjc2ZGQ4ZGE5ODEiLCJ1c2VySWQiOiIzMTM2MDkwOTcifQ==</vt:lpwstr>
  </property>
  <property fmtid="{D5CDD505-2E9C-101B-9397-08002B2CF9AE}" pid="3" name="KSOProductBuildVer">
    <vt:lpwstr>2052-12.1.0.28043</vt:lpwstr>
  </property>
  <property fmtid="{D5CDD505-2E9C-101B-9397-08002B2CF9AE}" pid="4" name="ICV">
    <vt:lpwstr>68CBA103695C4FD18C0B62304656EAD8_12</vt:lpwstr>
  </property>
</Properties>
</file>