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EA056">
      <w:pPr>
        <w:spacing w:line="600" w:lineRule="exact"/>
        <w:ind w:left="0"/>
        <w:jc w:val="center"/>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831</w:t>
      </w:r>
      <w:r>
        <w:rPr>
          <w:rFonts w:hint="eastAsia" w:ascii="方正小标宋_GBK" w:hAnsi="方正小标宋_GBK" w:eastAsia="方正小标宋_GBK" w:cs="方正小标宋_GBK"/>
          <w:b w:val="0"/>
          <w:color w:val="auto"/>
          <w:sz w:val="44"/>
          <w:szCs w:val="52"/>
          <w:highlight w:val="none"/>
          <w:lang w:val="en-US" w:eastAsia="zh-CN"/>
        </w:rPr>
        <w:t>-</w:t>
      </w:r>
      <w:r>
        <w:rPr>
          <w:rFonts w:hint="default" w:ascii="方正小标宋_GBK" w:hAnsi="方正小标宋_GBK" w:eastAsia="方正小标宋_GBK" w:cs="方正小标宋_GBK"/>
          <w:b w:val="0"/>
          <w:color w:val="auto"/>
          <w:sz w:val="44"/>
          <w:szCs w:val="52"/>
          <w:highlight w:val="none"/>
        </w:rPr>
        <w:t>《经济学基础》考试大纲</w:t>
      </w:r>
    </w:p>
    <w:p w14:paraId="43888A52">
      <w:pPr>
        <w:pStyle w:val="6"/>
        <w:widowControl w:val="0"/>
        <w:spacing w:beforeAutospacing="0" w:afterAutospacing="0" w:line="600" w:lineRule="exact"/>
        <w:ind w:firstLine="640" w:firstLineChars="200"/>
        <w:jc w:val="both"/>
        <w:rPr>
          <w:rFonts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157928F2">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一、考试目标</w:t>
      </w:r>
    </w:p>
    <w:p w14:paraId="32EE1639">
      <w:pPr>
        <w:pStyle w:val="6"/>
        <w:widowControl w:val="0"/>
        <w:spacing w:beforeAutospacing="0" w:afterAutospacing="0" w:line="600" w:lineRule="exact"/>
        <w:ind w:left="0"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eastAsia" w:ascii="Times New Roman" w:hAnsi="Times New Roman"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经济学基础</w:t>
      </w:r>
      <w:r>
        <w:rPr>
          <w:rFonts w:hint="eastAsia" w:ascii="Times New Roman" w:hAnsi="Times New Roman"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是公共管理类硕士研</w:t>
      </w:r>
      <w:bookmarkStart w:id="0" w:name="_GoBack"/>
      <w:bookmarkEnd w:id="0"/>
      <w:r>
        <w:rPr>
          <w:rFonts w:hint="default" w:ascii="Times New Roman" w:hAnsi="Times New Roman" w:eastAsia="方正仿宋_GBK" w:cs="方正仿宋_GBK"/>
          <w:bCs w:val="0"/>
          <w:color w:val="auto"/>
          <w:kern w:val="2"/>
          <w:sz w:val="32"/>
          <w:szCs w:val="32"/>
          <w:highlight w:val="none"/>
          <w:lang w:bidi="ar-SA"/>
        </w:rPr>
        <w:t>究生入学考试科目之一。它要求学生全面系统地掌握属于经济学基础的基本概念和基本理论，熟悉经济运行的一般原理以及政府对国民经济进行宏观调控的依据和方法，并能够对现实中政府的各项经济政策进行分析和判断。经济学的基础理论、分析框架和研究方法对于管理类学生和实际的管理工作者而言，是分析客观经济事件、开阔管理思路的重要工具。本科目要求考生系统掌握经济学学科的基本知识、基础理论和基本方法，能运用相关理论和方法理解、分析现实问题，并给出若干解决思路。</w:t>
      </w:r>
    </w:p>
    <w:p w14:paraId="510D7514">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二、考试形式与试卷结构</w:t>
      </w:r>
    </w:p>
    <w:p w14:paraId="3D9B69BE">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（一）试卷分值及考试时间</w:t>
      </w:r>
    </w:p>
    <w:p w14:paraId="1825E677">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本试卷满分为150分，考试时间为180分钟。</w:t>
      </w:r>
    </w:p>
    <w:p w14:paraId="5DDA2578">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w:t>
      </w:r>
    </w:p>
    <w:p w14:paraId="784E903F">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答题方式为闭卷、笔试。</w:t>
      </w:r>
    </w:p>
    <w:p w14:paraId="62148DB8">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（三）试卷题型结构</w:t>
      </w:r>
    </w:p>
    <w:p w14:paraId="45CA3705">
      <w:pPr>
        <w:pStyle w:val="6"/>
        <w:widowControl w:val="0"/>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试卷可能包括的题型有：名词解释、简答题、论述题、案例分析题、计算分析题、材料分析题。</w:t>
      </w:r>
    </w:p>
    <w:p w14:paraId="1D82CA52">
      <w:pPr>
        <w:pStyle w:val="6"/>
        <w:spacing w:beforeAutospacing="0" w:afterAutospacing="0"/>
        <w:ind w:firstLine="640" w:firstLineChars="200"/>
        <w:jc w:val="both"/>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三、考试内容</w:t>
      </w:r>
    </w:p>
    <w:p w14:paraId="4827DDE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一、需求、供给与价格均衡</w:t>
      </w:r>
    </w:p>
    <w:p w14:paraId="0AB64A02">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（一）需求</w:t>
      </w:r>
    </w:p>
    <w:p w14:paraId="6813B1B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1.需求、需求量</w:t>
      </w:r>
    </w:p>
    <w:p w14:paraId="4558999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2.需求曲线</w:t>
      </w:r>
    </w:p>
    <w:p w14:paraId="774AEAF3">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（二）供给</w:t>
      </w:r>
    </w:p>
    <w:p w14:paraId="3E18996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1.供给、供给量</w:t>
      </w:r>
    </w:p>
    <w:p w14:paraId="4F01286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2.供给曲线</w:t>
      </w:r>
    </w:p>
    <w:p w14:paraId="6E6FAA8C">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（三）市场均衡</w:t>
      </w:r>
    </w:p>
    <w:p w14:paraId="322E45B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1.均衡产量</w:t>
      </w:r>
    </w:p>
    <w:p w14:paraId="7DE82C0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2.均衡价格</w:t>
      </w:r>
    </w:p>
    <w:p w14:paraId="465E1F1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3.蛛网模型</w:t>
      </w:r>
    </w:p>
    <w:p w14:paraId="049D0DA8">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（四）弹性</w:t>
      </w:r>
    </w:p>
    <w:p w14:paraId="3A813FC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1.需求弹性</w:t>
      </w:r>
    </w:p>
    <w:p w14:paraId="1BB2066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2.供给弹性</w:t>
      </w:r>
    </w:p>
    <w:p w14:paraId="6D63AFE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二、消费者选择</w:t>
      </w:r>
    </w:p>
    <w:p w14:paraId="03D224B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（一）效用理论</w:t>
      </w:r>
    </w:p>
    <w:p w14:paraId="1EFD34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1.基数效用论</w:t>
      </w:r>
    </w:p>
    <w:p w14:paraId="0038396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2.序数效用论</w:t>
      </w:r>
    </w:p>
    <w:p w14:paraId="564251C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3.边际效用递减规律</w:t>
      </w:r>
    </w:p>
    <w:p w14:paraId="01429739">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（二）消费者均衡</w:t>
      </w:r>
    </w:p>
    <w:p w14:paraId="725C1B8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1.无差异曲线</w:t>
      </w:r>
    </w:p>
    <w:p w14:paraId="1F55511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2.预算约束线</w:t>
      </w:r>
    </w:p>
    <w:p w14:paraId="7F85C2A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3.消费者均衡条件</w:t>
      </w:r>
    </w:p>
    <w:p w14:paraId="66B4CBD3">
      <w:pPr>
        <w:pStyle w:val="6"/>
        <w:widowControl w:val="0"/>
        <w:spacing w:beforeAutospacing="0" w:afterAutospacing="0" w:line="600" w:lineRule="exact"/>
        <w:ind w:firstLine="643" w:firstLineChars="200"/>
        <w:jc w:val="both"/>
        <w:rPr>
          <w:rFonts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（三）替代效应和收入效应</w:t>
      </w:r>
    </w:p>
    <w:p w14:paraId="2849573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1.价格变动的替代效应</w:t>
      </w:r>
    </w:p>
    <w:p w14:paraId="1976894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2.价格变动的收入效应</w:t>
      </w:r>
    </w:p>
    <w:p w14:paraId="5EE1B84E">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三、企业的生产和成本</w:t>
      </w:r>
    </w:p>
    <w:p w14:paraId="4C01A10E">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（一）企业与生产函数</w:t>
      </w:r>
    </w:p>
    <w:p w14:paraId="35EF233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1.企业的类型与企业的目标</w:t>
      </w:r>
    </w:p>
    <w:p w14:paraId="63C7433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2.生产和生产函数</w:t>
      </w:r>
    </w:p>
    <w:p w14:paraId="6033B45E">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（二）短期生产函数</w:t>
      </w:r>
    </w:p>
    <w:p w14:paraId="65F284C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1.总产量、平均产量和边际产量</w:t>
      </w:r>
    </w:p>
    <w:p w14:paraId="3A25B4E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2.边际报酬递减规律</w:t>
      </w:r>
    </w:p>
    <w:p w14:paraId="25B5AB9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3.生产的三个阶段</w:t>
      </w:r>
    </w:p>
    <w:p w14:paraId="09BA312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（三）长期生产函数</w:t>
      </w:r>
    </w:p>
    <w:p w14:paraId="367A045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1.等产量线</w:t>
      </w:r>
    </w:p>
    <w:p w14:paraId="122BE6B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2.等成本线</w:t>
      </w:r>
    </w:p>
    <w:p w14:paraId="46113963">
      <w:pPr>
        <w:pStyle w:val="6"/>
        <w:widowControl w:val="0"/>
        <w:spacing w:beforeAutospacing="0"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3.生产者均衡</w:t>
      </w:r>
    </w:p>
    <w:p w14:paraId="3F39E621">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（四）短期成本函数</w:t>
      </w:r>
    </w:p>
    <w:p w14:paraId="0B06A9C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1.短期成本曲线</w:t>
      </w:r>
    </w:p>
    <w:p w14:paraId="484CA09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2.短期成本曲线之间的关系</w:t>
      </w:r>
    </w:p>
    <w:p w14:paraId="75B412B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四、完全竞争市场</w:t>
      </w:r>
    </w:p>
    <w:p w14:paraId="092B193A">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（一）市场结构和企业收益</w:t>
      </w:r>
    </w:p>
    <w:p w14:paraId="5774A44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1.市场结构及其划分依据</w:t>
      </w:r>
    </w:p>
    <w:p w14:paraId="08A94C1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2.企业利润最大化</w:t>
      </w:r>
    </w:p>
    <w:p w14:paraId="346952D6">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（二）完全竞争企业</w:t>
      </w:r>
    </w:p>
    <w:p w14:paraId="39D7884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1.完全竞争企业面临的需求曲线</w:t>
      </w:r>
    </w:p>
    <w:p w14:paraId="4CD4381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2.完全竞争企业的收益曲线</w:t>
      </w:r>
    </w:p>
    <w:p w14:paraId="6C1D63FE">
      <w:pPr>
        <w:pStyle w:val="6"/>
        <w:widowControl w:val="0"/>
        <w:spacing w:beforeAutospacing="0" w:afterAutospacing="0" w:line="600" w:lineRule="exact"/>
        <w:ind w:firstLine="640" w:firstLineChars="200"/>
        <w:jc w:val="both"/>
        <w:rPr>
          <w:rFonts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b w:val="0"/>
          <w:bCs w:val="0"/>
          <w:color w:val="auto"/>
          <w:kern w:val="2"/>
          <w:sz w:val="32"/>
          <w:szCs w:val="32"/>
          <w:highlight w:val="none"/>
          <w:lang w:bidi="ar-SA"/>
        </w:rPr>
        <w:t>（三）完全竞争企业的短期均衡</w:t>
      </w:r>
    </w:p>
    <w:p w14:paraId="67F2300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1.利润最大化产量的决定</w:t>
      </w:r>
    </w:p>
    <w:p w14:paraId="00B0D03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2.利润最大化和盈亏</w:t>
      </w:r>
    </w:p>
    <w:p w14:paraId="629230B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3.企业的短期均衡</w:t>
      </w:r>
    </w:p>
    <w:p w14:paraId="3A87F2D1">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五、不完全竞争市场</w:t>
      </w:r>
    </w:p>
    <w:p w14:paraId="6BB352D8">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（一）垄断</w:t>
      </w:r>
    </w:p>
    <w:p w14:paraId="2109733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1.垄断的含义及原因</w:t>
      </w:r>
    </w:p>
    <w:p w14:paraId="755CB79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2.垄断企业的短期和长期均衡</w:t>
      </w:r>
    </w:p>
    <w:p w14:paraId="2DE3E6A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3.垄断和价格歧视</w:t>
      </w:r>
    </w:p>
    <w:p w14:paraId="723BDBFF">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（二）垄断竞争</w:t>
      </w:r>
    </w:p>
    <w:p w14:paraId="74EE0C1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1.垄断竞争的特点</w:t>
      </w:r>
    </w:p>
    <w:p w14:paraId="04B8892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2.垄断竞争企业的短期均衡</w:t>
      </w:r>
    </w:p>
    <w:p w14:paraId="2F625018">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六、要素市场和收入分配</w:t>
      </w:r>
    </w:p>
    <w:p w14:paraId="747A419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（一）劳动和工资</w:t>
      </w:r>
    </w:p>
    <w:p w14:paraId="5A22F6E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1.劳动供给和闲暇</w:t>
      </w:r>
    </w:p>
    <w:p w14:paraId="672A17C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2.劳动供给曲线</w:t>
      </w:r>
    </w:p>
    <w:p w14:paraId="75BD71B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3.替代效应和收入效应</w:t>
      </w:r>
    </w:p>
    <w:p w14:paraId="1E02534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4.劳动市场均衡和工资决定</w:t>
      </w:r>
    </w:p>
    <w:p w14:paraId="2A5854A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（二）土地和地租</w:t>
      </w:r>
    </w:p>
    <w:p w14:paraId="6B2871F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1.土地供给曲线</w:t>
      </w:r>
    </w:p>
    <w:p w14:paraId="2B0F0E4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2.土地价格和地租</w:t>
      </w:r>
    </w:p>
    <w:p w14:paraId="2D83AC0A">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（三）资本和利息</w:t>
      </w:r>
    </w:p>
    <w:p w14:paraId="54D4823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1.资本和利息的概念</w:t>
      </w:r>
    </w:p>
    <w:p w14:paraId="483E75D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2.资本的供给和资本市场均衡</w:t>
      </w:r>
    </w:p>
    <w:p w14:paraId="2B33E0C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七、市场失灵和微观经济政策</w:t>
      </w:r>
    </w:p>
    <w:p w14:paraId="6AD1AFC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（一）垄断</w:t>
      </w:r>
    </w:p>
    <w:p w14:paraId="5AAEB39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1.垄断与低效率</w:t>
      </w:r>
    </w:p>
    <w:p w14:paraId="2D72313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2.对垄断的规制</w:t>
      </w:r>
    </w:p>
    <w:p w14:paraId="5889FEB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（二）外部性</w:t>
      </w:r>
    </w:p>
    <w:p w14:paraId="4EAC13B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1.外部性的含义</w:t>
      </w:r>
    </w:p>
    <w:p w14:paraId="26EE939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2.外部性与市场失灵</w:t>
      </w:r>
    </w:p>
    <w:p w14:paraId="4D1959F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3.应对外部性的微观经济政策</w:t>
      </w:r>
    </w:p>
    <w:p w14:paraId="2B8312C9">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（三）公共物品</w:t>
      </w:r>
    </w:p>
    <w:p w14:paraId="10A3FF0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1.公共物品的特征</w:t>
      </w:r>
    </w:p>
    <w:p w14:paraId="520741F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2.公共物品与市场失灵</w:t>
      </w:r>
    </w:p>
    <w:p w14:paraId="4586AED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3.公共物品的供给政策</w:t>
      </w:r>
    </w:p>
    <w:p w14:paraId="5AE55DC7">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八、宏观经济指标及其衡量</w:t>
      </w:r>
    </w:p>
    <w:p w14:paraId="22EBD22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（一）国内生产总值（GDP）</w:t>
      </w:r>
    </w:p>
    <w:p w14:paraId="1EDEDC4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1.国内生产总值的概念</w:t>
      </w:r>
    </w:p>
    <w:p w14:paraId="76A0637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2.国内生产总值的衡量</w:t>
      </w:r>
    </w:p>
    <w:p w14:paraId="34FA44F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3.名义国内生产总值与实际国内生产总值</w:t>
      </w:r>
    </w:p>
    <w:p w14:paraId="50405EE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4.国民生产总值、可支配收入等其他重要指标</w:t>
      </w:r>
    </w:p>
    <w:p w14:paraId="538906A5">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（二）价格水平</w:t>
      </w:r>
    </w:p>
    <w:p w14:paraId="74EE312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1.衡量价格水平的主要指标</w:t>
      </w:r>
    </w:p>
    <w:p w14:paraId="4B32B36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2.通货膨胀与通货紧缩</w:t>
      </w:r>
    </w:p>
    <w:p w14:paraId="50E4A91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3.滞涨</w:t>
      </w:r>
    </w:p>
    <w:p w14:paraId="31C5488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（三）就业状况</w:t>
      </w:r>
    </w:p>
    <w:p w14:paraId="5251AE1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1.失业的类型</w:t>
      </w:r>
    </w:p>
    <w:p w14:paraId="718D9BD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2.充分就业与自然失业率</w:t>
      </w:r>
    </w:p>
    <w:p w14:paraId="3A710DE7">
      <w:pPr>
        <w:pStyle w:val="6"/>
        <w:widowControl w:val="0"/>
        <w:spacing w:beforeAutospacing="0" w:afterAutospacing="0" w:line="600" w:lineRule="exact"/>
        <w:ind w:firstLine="640"/>
        <w:jc w:val="both"/>
        <w:rPr>
          <w:rFonts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3.失业的衡量</w:t>
      </w:r>
    </w:p>
    <w:p w14:paraId="1C1DD0E6">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九、国民收入的决定：收入－支出模型</w:t>
      </w:r>
    </w:p>
    <w:p w14:paraId="74022DF9">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（一）均衡国民收入的决定</w:t>
      </w:r>
    </w:p>
    <w:p w14:paraId="5B70C02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1.均衡国民收入的决定原理和基本方向</w:t>
      </w:r>
    </w:p>
    <w:p w14:paraId="0E3182D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2.两部门经济下的有效需求</w:t>
      </w:r>
    </w:p>
    <w:p w14:paraId="607376A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（二）两部门经济：家庭部门</w:t>
      </w:r>
    </w:p>
    <w:p w14:paraId="7934929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1.消费函数</w:t>
      </w:r>
    </w:p>
    <w:p w14:paraId="7E5AB08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2.储蓄函数</w:t>
      </w:r>
    </w:p>
    <w:p w14:paraId="379DAB7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3.消费函数和储蓄函数的关系</w:t>
      </w:r>
    </w:p>
    <w:p w14:paraId="59BE220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4.家庭消费函数和社会消费函数</w:t>
      </w:r>
    </w:p>
    <w:p w14:paraId="38899C8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（三）两部门经济：企业部门</w:t>
      </w:r>
    </w:p>
    <w:p w14:paraId="67AB334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1.资本边际效率</w:t>
      </w:r>
    </w:p>
    <w:p w14:paraId="18545DD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2.影响预期收益的因素</w:t>
      </w:r>
    </w:p>
    <w:p w14:paraId="2186608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3.投资和利率</w:t>
      </w:r>
    </w:p>
    <w:p w14:paraId="15B3ED9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（四）三部门经济：政府部门</w:t>
      </w:r>
    </w:p>
    <w:p w14:paraId="4AF31B9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1.政府需求</w:t>
      </w:r>
    </w:p>
    <w:p w14:paraId="58826301">
      <w:pPr>
        <w:pStyle w:val="6"/>
        <w:widowControl w:val="0"/>
        <w:spacing w:beforeAutospacing="0" w:afterAutospacing="0" w:line="600" w:lineRule="exact"/>
        <w:ind w:firstLine="641"/>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2.政府对社会总需求的影响</w:t>
      </w:r>
    </w:p>
    <w:p w14:paraId="78647A02">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十、国民收入的决定：IS-LM模型</w:t>
      </w:r>
    </w:p>
    <w:p w14:paraId="3B63C40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（一）产品市场均衡</w:t>
      </w:r>
    </w:p>
    <w:p w14:paraId="20B9DD8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1.IS曲线概念和内涵</w:t>
      </w:r>
    </w:p>
    <w:p w14:paraId="4499373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2.IS曲线的斜率及其变动</w:t>
      </w:r>
    </w:p>
    <w:p w14:paraId="0F2CB2C9">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（二）货币市场均衡</w:t>
      </w:r>
    </w:p>
    <w:p w14:paraId="1E3E1C8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1.货币的需求和供给</w:t>
      </w:r>
    </w:p>
    <w:p w14:paraId="37238ED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2.LM曲线的概念和内涵</w:t>
      </w:r>
    </w:p>
    <w:p w14:paraId="0366714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3.LM曲线的斜率及其变动</w:t>
      </w:r>
    </w:p>
    <w:p w14:paraId="232B9227">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（三）产品市场和货币市场的共同均衡</w:t>
      </w:r>
    </w:p>
    <w:p w14:paraId="7DA9813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1.产品市场和货币市场的共同均衡：IS-LM模型</w:t>
      </w:r>
    </w:p>
    <w:p w14:paraId="67BE48EE">
      <w:pPr>
        <w:pStyle w:val="6"/>
        <w:widowControl w:val="0"/>
        <w:spacing w:beforeAutospacing="0" w:afterAutospacing="0" w:line="600" w:lineRule="exact"/>
        <w:ind w:firstLine="640"/>
        <w:jc w:val="both"/>
        <w:rPr>
          <w:rFonts w:ascii="Times New Roman" w:hAnsi="Times New Roman" w:eastAsia="方正仿宋_GBK" w:cs="方正仿宋_GBK"/>
          <w:b w:val="0"/>
          <w:bCs w:val="0"/>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2.产品市场和货币市场共同均衡的调整和变动</w:t>
      </w:r>
    </w:p>
    <w:p w14:paraId="19293661">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十一、国民收入的决定：AD-AS模型</w:t>
      </w:r>
    </w:p>
    <w:p w14:paraId="487E1AF5">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（一）AD曲线及其变动</w:t>
      </w:r>
    </w:p>
    <w:p w14:paraId="16D80B2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1.AD曲线的含义和相关效应</w:t>
      </w:r>
    </w:p>
    <w:p w14:paraId="0093C30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2.AD曲线的变动和影响因素</w:t>
      </w:r>
    </w:p>
    <w:p w14:paraId="32F7A419">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（二）AS曲线及其变动</w:t>
      </w:r>
    </w:p>
    <w:p w14:paraId="0F2C497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1.AS曲线的含义</w:t>
      </w:r>
    </w:p>
    <w:p w14:paraId="1F8043E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2.AS曲线的变动和影响因素</w:t>
      </w:r>
    </w:p>
    <w:p w14:paraId="08554C6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3.AS曲线不同特征的经济含义</w:t>
      </w:r>
    </w:p>
    <w:p w14:paraId="4F175B67">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（三）AD-AS模型</w:t>
      </w:r>
    </w:p>
    <w:p w14:paraId="286169F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1.AD-AS模型的含义</w:t>
      </w:r>
    </w:p>
    <w:p w14:paraId="57BAC1F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2.AD-AS模型的基本类型</w:t>
      </w:r>
    </w:p>
    <w:p w14:paraId="0F6E47D7">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十二、失业、通货膨胀和经济周期</w:t>
      </w:r>
    </w:p>
    <w:p w14:paraId="49A48342">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（一）失业</w:t>
      </w:r>
    </w:p>
    <w:p w14:paraId="0E37FF1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1.失业的宏观经济学解释</w:t>
      </w:r>
    </w:p>
    <w:p w14:paraId="00ADEAE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2.失业的影响和奥肯定律</w:t>
      </w:r>
    </w:p>
    <w:p w14:paraId="7EA3B166">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（二）通货膨胀</w:t>
      </w:r>
    </w:p>
    <w:p w14:paraId="6F5DFA5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1.通货膨胀的类型和原因</w:t>
      </w:r>
    </w:p>
    <w:p w14:paraId="74F0068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2.通货膨胀的影响</w:t>
      </w:r>
    </w:p>
    <w:p w14:paraId="399AC11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（三）经济周期</w:t>
      </w:r>
    </w:p>
    <w:p w14:paraId="6643CA2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1.经济周期的定义、阶段和类型</w:t>
      </w:r>
    </w:p>
    <w:p w14:paraId="7A4C2C7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2.经济周期理论</w:t>
      </w:r>
    </w:p>
    <w:p w14:paraId="655C03EA">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十三、宏观经济政策</w:t>
      </w:r>
    </w:p>
    <w:p w14:paraId="3E167DA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（一）宏观经济政策目标</w:t>
      </w:r>
    </w:p>
    <w:p w14:paraId="67F65AA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1.宏观经济政策目标体系</w:t>
      </w:r>
    </w:p>
    <w:p w14:paraId="31668A9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2.宏观经济政策目标的抉择</w:t>
      </w:r>
    </w:p>
    <w:p w14:paraId="62312E22">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（二）财政政策</w:t>
      </w:r>
    </w:p>
    <w:p w14:paraId="74555C8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1.财政政策工具</w:t>
      </w:r>
    </w:p>
    <w:p w14:paraId="2AF4908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2.自动稳定器和相机抉择的财政政策</w:t>
      </w:r>
    </w:p>
    <w:p w14:paraId="0C95B35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3.财政政策效应</w:t>
      </w:r>
    </w:p>
    <w:p w14:paraId="10162CCA">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（三）货币政策</w:t>
      </w:r>
    </w:p>
    <w:p w14:paraId="716FC64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1.货币政策工具</w:t>
      </w:r>
    </w:p>
    <w:p w14:paraId="3B9E321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2.货币乘数和货币供给</w:t>
      </w:r>
    </w:p>
    <w:p w14:paraId="1E882A5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3.货币政策效应</w:t>
      </w:r>
    </w:p>
    <w:p w14:paraId="4FB3C0F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（四）财政政策和货币政策的协调</w:t>
      </w:r>
    </w:p>
    <w:p w14:paraId="174B114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1.财政政策的局限性</w:t>
      </w:r>
    </w:p>
    <w:p w14:paraId="7B6FDDE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2.货币政策的局限性</w:t>
      </w:r>
    </w:p>
    <w:p w14:paraId="0360A01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3.财政政策和货币政策的协调</w:t>
      </w:r>
    </w:p>
    <w:p w14:paraId="1E98CD7F">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十四、公共选择理论</w:t>
      </w:r>
    </w:p>
    <w:p w14:paraId="2EF9515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（一）简单多数规则</w:t>
      </w:r>
    </w:p>
    <w:p w14:paraId="5CF881D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1.政治均衡的概念</w:t>
      </w:r>
    </w:p>
    <w:p w14:paraId="49E44F0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2.投票与决策</w:t>
      </w:r>
    </w:p>
    <w:p w14:paraId="7109889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3.中间投票者和中间投票者定理</w:t>
      </w:r>
    </w:p>
    <w:p w14:paraId="051E558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（二）投票交易</w:t>
      </w:r>
    </w:p>
    <w:p w14:paraId="7BE14A7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1.互投赞成票与投票交易</w:t>
      </w:r>
    </w:p>
    <w:p w14:paraId="2EF18A4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2.隐含的投票交易</w:t>
      </w:r>
    </w:p>
    <w:p w14:paraId="1736E5A1">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（三）政治行为的分析</w:t>
      </w:r>
    </w:p>
    <w:p w14:paraId="1AE13EF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1.投票者参与投票的动因</w:t>
      </w:r>
    </w:p>
    <w:p w14:paraId="7FBF1B8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2.政治家（政党）与选票极大化</w:t>
      </w:r>
    </w:p>
    <w:p w14:paraId="1145B58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3.官僚主义与公共物品的供给</w:t>
      </w:r>
    </w:p>
    <w:p w14:paraId="6C7375F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4.特殊利益集团与政治均衡</w:t>
      </w:r>
    </w:p>
    <w:p w14:paraId="1D92D81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十五、公共支出</w:t>
      </w:r>
    </w:p>
    <w:p w14:paraId="7DF4F0E8">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（一）公共支出规模</w:t>
      </w:r>
    </w:p>
    <w:p w14:paraId="4B960F6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1.政府活动扩张论（瓦格纳法则）</w:t>
      </w:r>
    </w:p>
    <w:p w14:paraId="61F8BA6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2.梯度渐进增长论（公共支出增长的内外因素论）</w:t>
      </w:r>
    </w:p>
    <w:p w14:paraId="332424D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3.官员行为增长论</w:t>
      </w:r>
    </w:p>
    <w:p w14:paraId="555D0BB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4.多数票规则增长论（利益集团与财政错觉）</w:t>
      </w:r>
    </w:p>
    <w:p w14:paraId="08B9BA2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5.公共支出增长趋势的基本决定因素</w:t>
      </w:r>
    </w:p>
    <w:p w14:paraId="7B7E90F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（二）公共支出规模的现实分析</w:t>
      </w:r>
    </w:p>
    <w:p w14:paraId="54431961">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（三）公共支出结构</w:t>
      </w:r>
    </w:p>
    <w:p w14:paraId="17AF0C8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1.公共支出分类与构成</w:t>
      </w:r>
    </w:p>
    <w:p w14:paraId="3D10003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2.公共支出结构的决定因素</w:t>
      </w:r>
    </w:p>
    <w:p w14:paraId="075821A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（四）公共支出项目</w:t>
      </w:r>
    </w:p>
    <w:p w14:paraId="5E9D343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1.行政管理支出</w:t>
      </w:r>
    </w:p>
    <w:p w14:paraId="1F2946C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2.国防支出</w:t>
      </w:r>
    </w:p>
    <w:p w14:paraId="6DEE73A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3.公共投资支出</w:t>
      </w:r>
    </w:p>
    <w:p w14:paraId="2FDF748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4.社会保障支出</w:t>
      </w:r>
    </w:p>
    <w:p w14:paraId="492769D3">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（五）公共支出效率</w:t>
      </w:r>
    </w:p>
    <w:p w14:paraId="1A6D105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（六）政府采购制度</w:t>
      </w:r>
    </w:p>
    <w:p w14:paraId="0B536DB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1.政府采购制度的意义</w:t>
      </w:r>
    </w:p>
    <w:p w14:paraId="40FA11B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2.政府采购制度的基本内容</w:t>
      </w:r>
    </w:p>
    <w:p w14:paraId="307041C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3.政府采购合同的类型</w:t>
      </w:r>
    </w:p>
    <w:p w14:paraId="0DB243C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十六、公共收入</w:t>
      </w:r>
    </w:p>
    <w:p w14:paraId="0CA2840C">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（一）公共收入体系</w:t>
      </w:r>
    </w:p>
    <w:p w14:paraId="7AB5611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1.税收</w:t>
      </w:r>
    </w:p>
    <w:p w14:paraId="4B7B903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2.收费</w:t>
      </w:r>
    </w:p>
    <w:p w14:paraId="753415F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3.货币创造</w:t>
      </w:r>
    </w:p>
    <w:p w14:paraId="67A4D5A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4.公债</w:t>
      </w:r>
    </w:p>
    <w:p w14:paraId="221AAF2C">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（二）公共收入规模</w:t>
      </w:r>
    </w:p>
    <w:p w14:paraId="745CD4E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1.公共收入规模的演变</w:t>
      </w:r>
    </w:p>
    <w:p w14:paraId="5C4C45E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2.公共收入规模的国际比较</w:t>
      </w:r>
    </w:p>
    <w:p w14:paraId="782301F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3.公共收入规模的决定因素</w:t>
      </w:r>
    </w:p>
    <w:p w14:paraId="5BC5717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（三）公共收入结构</w:t>
      </w:r>
    </w:p>
    <w:p w14:paraId="62BBA92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1.无偿收入与有偿收入比</w:t>
      </w:r>
    </w:p>
    <w:p w14:paraId="73B5341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2.预算内收入与预算外收入比</w:t>
      </w:r>
    </w:p>
    <w:p w14:paraId="56AA7CE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3.税收收入与非税收收入比</w:t>
      </w:r>
    </w:p>
    <w:p w14:paraId="01644E6F">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十七、税收</w:t>
      </w:r>
    </w:p>
    <w:p w14:paraId="21D40364">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（一）税收原理</w:t>
      </w:r>
    </w:p>
    <w:p w14:paraId="3569D0D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1.税收要素与分类</w:t>
      </w:r>
    </w:p>
    <w:p w14:paraId="07B624E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2.税收原则</w:t>
      </w:r>
    </w:p>
    <w:p w14:paraId="3392255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3.税收转嫁</w:t>
      </w:r>
    </w:p>
    <w:p w14:paraId="555E8A0C">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（二）税收的经济影响</w:t>
      </w:r>
    </w:p>
    <w:p w14:paraId="5F61A03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1.税收的收入效应和替代效应</w:t>
      </w:r>
    </w:p>
    <w:p w14:paraId="2784D5B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2.税收对个人储蓄的影响</w:t>
      </w:r>
    </w:p>
    <w:p w14:paraId="2B7E865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3.税收对劳动供给的影响</w:t>
      </w:r>
    </w:p>
    <w:p w14:paraId="21B2B36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4.税收对企业投资的影响</w:t>
      </w:r>
    </w:p>
    <w:p w14:paraId="1BBF7E4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5.税收对收入分配的影响</w:t>
      </w:r>
    </w:p>
    <w:p w14:paraId="5BFC2CA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6.税收对环境保护的影响</w:t>
      </w:r>
    </w:p>
    <w:p w14:paraId="12728123">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（三）税收制度</w:t>
      </w:r>
    </w:p>
    <w:p w14:paraId="3629ADD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1.税收制度的基本范畴</w:t>
      </w:r>
    </w:p>
    <w:p w14:paraId="60FCE7D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2.税种设置理论与实践</w:t>
      </w:r>
    </w:p>
    <w:p w14:paraId="50C03EC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3.主要税种介绍</w:t>
      </w:r>
    </w:p>
    <w:p w14:paraId="75B34AC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4.税制结构的决定因素</w:t>
      </w:r>
    </w:p>
    <w:p w14:paraId="3588865B">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（四）税制改革</w:t>
      </w:r>
    </w:p>
    <w:p w14:paraId="1472D14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1.税制改革的原因</w:t>
      </w:r>
    </w:p>
    <w:p w14:paraId="613C1FA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2.税制改革的理论基础</w:t>
      </w:r>
    </w:p>
    <w:p w14:paraId="6E61EF52">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十八、财政赤字与公债</w:t>
      </w:r>
    </w:p>
    <w:p w14:paraId="6652AB03">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（一）财政赤字的基本问题</w:t>
      </w:r>
    </w:p>
    <w:p w14:paraId="7945309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1.如何理解财政平衡</w:t>
      </w:r>
    </w:p>
    <w:p w14:paraId="7A0E76A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2.财政赤字</w:t>
      </w:r>
    </w:p>
    <w:p w14:paraId="7F0AA8F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3.财政赤字的规模</w:t>
      </w:r>
    </w:p>
    <w:p w14:paraId="784DA77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4.财政赤字的经济影响</w:t>
      </w:r>
    </w:p>
    <w:p w14:paraId="534CEE8D">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（二）公债</w:t>
      </w:r>
    </w:p>
    <w:p w14:paraId="41CDF46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1.公债规模</w:t>
      </w:r>
    </w:p>
    <w:p w14:paraId="6C0F2D3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2.公债的经济效应</w:t>
      </w:r>
    </w:p>
    <w:p w14:paraId="31C630E5">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十九、政府间财政关系</w:t>
      </w:r>
    </w:p>
    <w:p w14:paraId="045C657E">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（一）财政关系的基本问题</w:t>
      </w:r>
    </w:p>
    <w:p w14:paraId="5FA3E1F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1.基本概念</w:t>
      </w:r>
    </w:p>
    <w:p w14:paraId="78354EC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2.财政分权</w:t>
      </w:r>
    </w:p>
    <w:p w14:paraId="6DC81CE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（二）支出责任安排</w:t>
      </w:r>
    </w:p>
    <w:p w14:paraId="560CBBA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1.支出责任安排的原则</w:t>
      </w:r>
    </w:p>
    <w:p w14:paraId="2DE51FD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2.支出责任安排的现状</w:t>
      </w:r>
    </w:p>
    <w:p w14:paraId="035AAE00">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（三）收入责任安排</w:t>
      </w:r>
    </w:p>
    <w:p w14:paraId="535B57E5">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1.收入责任安排的原则</w:t>
      </w:r>
    </w:p>
    <w:p w14:paraId="3990C8A1">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2.分税制</w:t>
      </w:r>
    </w:p>
    <w:p w14:paraId="627B420C">
      <w:pPr>
        <w:pStyle w:val="6"/>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（四）转移支付制度</w:t>
      </w:r>
    </w:p>
    <w:p w14:paraId="31CBB68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1.转移支付的必要性</w:t>
      </w:r>
    </w:p>
    <w:p w14:paraId="6AAF885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2.转移支付的形式</w:t>
      </w:r>
    </w:p>
    <w:p w14:paraId="13BB511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3.我国现行转移支付制度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1" w:fontKey="{2378575E-FE5D-4684-BE59-F1AB57D07ED7}"/>
  </w:font>
  <w:font w:name="方正仿宋_GBK">
    <w:panose1 w:val="02000000000000000000"/>
    <w:charset w:val="86"/>
    <w:family w:val="auto"/>
    <w:pitch w:val="default"/>
    <w:sig w:usb0="A00002BF" w:usb1="38CF7CFA" w:usb2="00082016" w:usb3="00000000" w:csb0="00040001" w:csb1="00000000"/>
    <w:embedRegular r:id="rId2" w:fontKey="{EDC94BBE-369C-42E4-B5DA-7F4154A8B8BA}"/>
  </w:font>
  <w:font w:name="方正黑体_GBK">
    <w:panose1 w:val="02010600010101010101"/>
    <w:charset w:val="86"/>
    <w:family w:val="script"/>
    <w:pitch w:val="default"/>
    <w:sig w:usb0="00000001" w:usb1="080E0000" w:usb2="00000000" w:usb3="00000000" w:csb0="00040000" w:csb1="00000000"/>
    <w:embedRegular r:id="rId3" w:fontKey="{EA985A87-4E66-432D-A769-144A0DC887B1}"/>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4A07BB"/>
    <w:rsid w:val="00083295"/>
    <w:rsid w:val="000A0A57"/>
    <w:rsid w:val="001509FD"/>
    <w:rsid w:val="00237579"/>
    <w:rsid w:val="00240250"/>
    <w:rsid w:val="002B42D9"/>
    <w:rsid w:val="00301ADE"/>
    <w:rsid w:val="003A66F1"/>
    <w:rsid w:val="003C2F7A"/>
    <w:rsid w:val="004063DC"/>
    <w:rsid w:val="00425C05"/>
    <w:rsid w:val="00480F70"/>
    <w:rsid w:val="004A07BB"/>
    <w:rsid w:val="004C58BD"/>
    <w:rsid w:val="004E1938"/>
    <w:rsid w:val="00506DFC"/>
    <w:rsid w:val="00527D93"/>
    <w:rsid w:val="00536721"/>
    <w:rsid w:val="00586BFB"/>
    <w:rsid w:val="005A457A"/>
    <w:rsid w:val="005C74D3"/>
    <w:rsid w:val="006563A4"/>
    <w:rsid w:val="006F463B"/>
    <w:rsid w:val="00701A3B"/>
    <w:rsid w:val="00735EDD"/>
    <w:rsid w:val="007A5AE4"/>
    <w:rsid w:val="00827879"/>
    <w:rsid w:val="008355B5"/>
    <w:rsid w:val="00850468"/>
    <w:rsid w:val="00955748"/>
    <w:rsid w:val="009758ED"/>
    <w:rsid w:val="009E239A"/>
    <w:rsid w:val="00A024A5"/>
    <w:rsid w:val="00A20EC8"/>
    <w:rsid w:val="00A92684"/>
    <w:rsid w:val="00B470BE"/>
    <w:rsid w:val="00C80A56"/>
    <w:rsid w:val="00CE4DF8"/>
    <w:rsid w:val="00D7589C"/>
    <w:rsid w:val="00D86C59"/>
    <w:rsid w:val="00DB565B"/>
    <w:rsid w:val="00DF1608"/>
    <w:rsid w:val="00E1089F"/>
    <w:rsid w:val="00E63216"/>
    <w:rsid w:val="00EB6C16"/>
    <w:rsid w:val="00ED6FDF"/>
    <w:rsid w:val="00EE0B90"/>
    <w:rsid w:val="00F075F0"/>
    <w:rsid w:val="00F14586"/>
    <w:rsid w:val="00FB7A33"/>
    <w:rsid w:val="1D9A45F3"/>
    <w:rsid w:val="213413B3"/>
    <w:rsid w:val="23BF71FF"/>
    <w:rsid w:val="290F02E0"/>
    <w:rsid w:val="2F605D93"/>
    <w:rsid w:val="4DA70839"/>
    <w:rsid w:val="4DD94895"/>
    <w:rsid w:val="55B41754"/>
    <w:rsid w:val="5B363192"/>
    <w:rsid w:val="5D0D44E0"/>
    <w:rsid w:val="5DE352BC"/>
    <w:rsid w:val="621A459D"/>
    <w:rsid w:val="6239194F"/>
    <w:rsid w:val="699064D0"/>
    <w:rsid w:val="6A1A18D0"/>
    <w:rsid w:val="6D047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unhideWhenUsed/>
    <w:qFormat/>
    <w:uiPriority w:val="0"/>
    <w:rPr>
      <w:rFonts w:ascii="宋体" w:hAnsi="Courier New" w:eastAsia="宋体" w:cs="Times New Roman"/>
      <w:szCs w:val="20"/>
      <w:lang w:val="zh-CN"/>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nhideWhenUsed/>
    <w:qFormat/>
    <w:uiPriority w:val="39"/>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customStyle="1" w:styleId="11">
    <w:name w:val="_Style 7"/>
    <w:basedOn w:val="1"/>
    <w:next w:val="12"/>
    <w:qFormat/>
    <w:uiPriority w:val="34"/>
    <w:pPr>
      <w:ind w:firstLine="420" w:firstLineChars="200"/>
    </w:pPr>
    <w:rPr>
      <w:rFonts w:ascii="Times New Roman" w:hAnsi="Times New Roman" w:eastAsia="宋体" w:cs="Times New Roman"/>
      <w:szCs w:val="20"/>
    </w:rPr>
  </w:style>
  <w:style w:type="paragraph" w:styleId="12">
    <w:name w:val="List Paragraph"/>
    <w:basedOn w:val="1"/>
    <w:qFormat/>
    <w:uiPriority w:val="0"/>
    <w:pPr>
      <w:ind w:firstLine="420" w:firstLineChars="200"/>
    </w:pPr>
  </w:style>
  <w:style w:type="character" w:customStyle="1" w:styleId="13">
    <w:name w:val="纯文本 字符"/>
    <w:basedOn w:val="8"/>
    <w:semiHidden/>
    <w:qFormat/>
    <w:uiPriority w:val="99"/>
    <w:rPr>
      <w:rFonts w:hAnsi="Courier New" w:cs="Courier New" w:asciiTheme="minorEastAsia"/>
    </w:rPr>
  </w:style>
  <w:style w:type="character" w:customStyle="1" w:styleId="14">
    <w:name w:val="纯文本 Char"/>
    <w:link w:val="2"/>
    <w:qFormat/>
    <w:uiPriority w:val="0"/>
    <w:rPr>
      <w:rFonts w:ascii="宋体" w:hAnsi="Courier New" w:eastAsia="宋体" w:cs="Times New Roman"/>
      <w:szCs w:val="20"/>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2802</Words>
  <Characters>3027</Characters>
  <Lines>23</Lines>
  <Paragraphs>6</Paragraphs>
  <TotalTime>6</TotalTime>
  <ScaleCrop>false</ScaleCrop>
  <LinksUpToDate>false</LinksUpToDate>
  <CharactersWithSpaces>3027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2025-07-22T12:43:00Z</dcterms:created>
  <dc:creator>lenovo</dc:creator>
  <cp:lastModifiedBy>澄澈</cp:lastModifiedBy>
  <dcterms:modified xsi:type="dcterms:W3CDTF">2026-08-04T13:09:51Z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F70F441C43B84529962C4CE931F60E45_13</vt:lpwstr>
  </property>
  <property fmtid="{D5CDD505-2E9C-101B-9397-08002B2CF9AE}" pid="4" name="KSOTemplateDocerSaveRecord">
    <vt:lpwstr>eyJoZGlkIjoiMDRkNzk5ODkxNzIxNmZhOGM3YmMyZjc2ZGQ4ZGE5ODEiLCJ1c2VySWQiOiIzMTM2MDkwOTcifQ==</vt:lpwstr>
  </property>
</Properties>
</file>