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82A14">
      <w:pPr>
        <w:spacing w:after="0" w:afterAutospacing="0" w:line="600" w:lineRule="exact"/>
        <w:jc w:val="center"/>
        <w:outlineLvl w:val="9"/>
        <w:rPr>
          <w:rFonts w:ascii="方正小标宋_GBK" w:hAnsi="方正小标宋_GBK" w:eastAsia="方正小标宋_GBK" w:cs="方正小标宋_GBK"/>
          <w:b w:val="0"/>
          <w:bCs w:val="0"/>
          <w:color w:val="auto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52"/>
          <w:highlight w:val="none"/>
        </w:rPr>
        <w:t>847</w:t>
      </w:r>
      <w:r>
        <w:rPr>
          <w:rFonts w:hint="default" w:ascii="方正小标宋_GBK" w:hAnsi="方正小标宋_GBK" w:eastAsia="方正小标宋_GBK" w:cs="方正小标宋_GBK"/>
          <w:b w:val="0"/>
          <w:bCs w:val="0"/>
          <w:color w:val="auto"/>
          <w:sz w:val="44"/>
          <w:szCs w:val="52"/>
          <w:highlight w:val="none"/>
        </w:rPr>
        <w:t>-《专业基础综合》考试大纲</w:t>
      </w:r>
      <w:bookmarkStart w:id="0" w:name="_GoBack"/>
      <w:bookmarkEnd w:id="0"/>
    </w:p>
    <w:p w14:paraId="56931A5B">
      <w:pPr>
        <w:pStyle w:val="4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 w:val="0"/>
          <w:bCs w:val="0"/>
          <w:color w:val="FF0000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6466EDC6">
      <w:pPr>
        <w:widowControl w:val="0"/>
        <w:spacing w:line="600" w:lineRule="exact"/>
        <w:ind w:firstLine="640" w:firstLineChars="200"/>
        <w:jc w:val="both"/>
        <w:outlineLvl w:val="9"/>
        <w:rPr>
          <w:rFonts w:asci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一、考试性质</w:t>
      </w:r>
    </w:p>
    <w:p w14:paraId="5BBCA12A">
      <w:pPr>
        <w:pStyle w:val="4"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《专业基础综合》是云南大学招收通信与信息系统、信号与信息处理、低空技术与工程专业学术型硕士研究生，以及电子信息（工程硕士）新一代电子信息技术、通信工程领域（方向）专业型硕士研究生的入学考试专业科目。</w:t>
      </w:r>
    </w:p>
    <w:p w14:paraId="6E7FB919">
      <w:pPr>
        <w:widowControl w:val="0"/>
        <w:spacing w:line="600" w:lineRule="exact"/>
        <w:ind w:firstLine="640" w:firstLineChars="200"/>
        <w:jc w:val="both"/>
        <w:outlineLvl w:val="9"/>
        <w:rPr>
          <w:rFonts w:asci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二、考试形式与试卷结构</w:t>
      </w:r>
    </w:p>
    <w:p w14:paraId="34ECE30D">
      <w:pPr>
        <w:pStyle w:val="4"/>
        <w:adjustRightInd/>
        <w:snapToGrid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答卷方式：闭卷，笔试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7ECF4402">
      <w:pPr>
        <w:pStyle w:val="4"/>
        <w:adjustRightInd/>
        <w:snapToGrid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答题时间：180分钟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7070FC35">
      <w:pPr>
        <w:pStyle w:val="4"/>
        <w:adjustRightInd/>
        <w:snapToGrid/>
        <w:spacing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题型：简答题、分析题、计算题、综合题。</w:t>
      </w:r>
    </w:p>
    <w:p w14:paraId="39886448">
      <w:pPr>
        <w:widowControl w:val="0"/>
        <w:spacing w:line="600" w:lineRule="exact"/>
        <w:ind w:firstLine="640" w:firstLineChars="200"/>
        <w:jc w:val="both"/>
        <w:outlineLvl w:val="9"/>
        <w:rPr>
          <w:rFonts w:asci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三、考试内容</w:t>
      </w:r>
    </w:p>
    <w:p w14:paraId="407BEEB4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信号与系统的基本概念</w:t>
      </w:r>
    </w:p>
    <w:p w14:paraId="6D815358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信号的描述与分类</w:t>
      </w:r>
    </w:p>
    <w:p w14:paraId="15673CA6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（2）信号的基本时域运算与变换</w:t>
      </w:r>
    </w:p>
    <w:p w14:paraId="348E7283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（3）阶跃信号和冲激信号的定义与性质</w:t>
      </w:r>
    </w:p>
    <w:p w14:paraId="57CBECFF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（4）系统的数学模型及框图表示</w:t>
      </w:r>
    </w:p>
    <w:p w14:paraId="454FD192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（5）系统的性质与分类</w:t>
      </w:r>
    </w:p>
    <w:p w14:paraId="2227AD33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连续系统的时域分析</w:t>
      </w:r>
    </w:p>
    <w:p w14:paraId="672C4B3A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（1）LTI连续时间系统响应的时域求解</w:t>
      </w:r>
    </w:p>
    <w:p w14:paraId="294ED7C6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（2）连续时间系统的冲激响应和阶跃响应</w:t>
      </w:r>
    </w:p>
    <w:p w14:paraId="50B88964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（3）卷积积分的定义、性质与计算</w:t>
      </w:r>
    </w:p>
    <w:p w14:paraId="527B9F96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离散系统的时域分析</w:t>
      </w:r>
    </w:p>
    <w:p w14:paraId="6BA62AA9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（1）LTI离散时间系统响应的时域求解</w:t>
      </w:r>
    </w:p>
    <w:p w14:paraId="60BF882F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（2）单位序列响应与单位阶跃响应</w:t>
      </w:r>
    </w:p>
    <w:p w14:paraId="2ED85768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（3）卷积和的定义、性质与计算</w:t>
      </w:r>
    </w:p>
    <w:p w14:paraId="3C9DEC93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4</w:t>
      </w:r>
      <w:r>
        <w:rPr>
          <w:rFonts w:hint="eastAsia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连续信号与系统的频域分析</w:t>
      </w:r>
    </w:p>
    <w:p w14:paraId="11899B4C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（1）周期信号的傅里叶级数</w:t>
      </w:r>
    </w:p>
    <w:p w14:paraId="6717688E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（2）周期信号的频谱</w:t>
      </w:r>
    </w:p>
    <w:p w14:paraId="08130766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（3）傅里叶变换</w:t>
      </w:r>
    </w:p>
    <w:p w14:paraId="5D0F988A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（4）非周期信号的频谱</w:t>
      </w:r>
    </w:p>
    <w:p w14:paraId="3A5BC0B9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（5）傅里叶变换的性质</w:t>
      </w:r>
    </w:p>
    <w:p w14:paraId="6CFD43D5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（6）周期信号的傅里叶变换</w:t>
      </w:r>
    </w:p>
    <w:p w14:paraId="4B203F49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（7）LTI系统的频域分析</w:t>
      </w:r>
    </w:p>
    <w:p w14:paraId="2F28A591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（8）频率响应</w:t>
      </w:r>
    </w:p>
    <w:p w14:paraId="4564818B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（9）周期、非周期信号激励下的系统响应</w:t>
      </w:r>
    </w:p>
    <w:p w14:paraId="3BCA917B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（10）无失真传输</w:t>
      </w:r>
    </w:p>
    <w:p w14:paraId="653BE94F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（11）理想低通滤波器</w:t>
      </w:r>
    </w:p>
    <w:p w14:paraId="46725C6E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（12）调制与解调</w:t>
      </w:r>
    </w:p>
    <w:p w14:paraId="2C50D4E8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（13）抽样定理</w:t>
      </w:r>
    </w:p>
    <w:p w14:paraId="3404A62B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hint="eastAsia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连续系统的S域分析</w:t>
      </w:r>
    </w:p>
    <w:p w14:paraId="316789F4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（1）拉普拉斯变换</w:t>
      </w:r>
    </w:p>
    <w:p w14:paraId="6C24104F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（2）拉普拉斯变换与傅里变换的关系</w:t>
      </w:r>
    </w:p>
    <w:p w14:paraId="3E928928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（3）拉普拉斯变换的性质</w:t>
      </w:r>
    </w:p>
    <w:p w14:paraId="16A49116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（4）拉普拉斯逆变换</w:t>
      </w:r>
    </w:p>
    <w:p w14:paraId="425EAC65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（5）连续系统的S域分析</w:t>
      </w:r>
    </w:p>
    <w:p w14:paraId="45086965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（6）系统函数</w:t>
      </w:r>
    </w:p>
    <w:p w14:paraId="6EC02533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（7）连续系统的零、极点分析</w:t>
      </w:r>
    </w:p>
    <w:p w14:paraId="5C6009BD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（8）连续系统的稳定性分析</w:t>
      </w:r>
    </w:p>
    <w:p w14:paraId="6B628D5F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（9）电路的S域模型</w:t>
      </w:r>
    </w:p>
    <w:p w14:paraId="3ED65D10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6</w:t>
      </w:r>
      <w:r>
        <w:rPr>
          <w:rFonts w:hint="eastAsia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离散时间信号与系统的频域分析</w:t>
      </w:r>
    </w:p>
    <w:p w14:paraId="40BD09DA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（1）离散时间傅里叶变换</w:t>
      </w:r>
    </w:p>
    <w:p w14:paraId="2F2FBE46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（2）离散时间信号的频谱</w:t>
      </w:r>
    </w:p>
    <w:p w14:paraId="55A3413F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（3）离散时间傅里叶变换的性质</w:t>
      </w:r>
    </w:p>
    <w:p w14:paraId="730AE21A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）离散傅里叶变换</w:t>
      </w:r>
    </w:p>
    <w:p w14:paraId="039105F2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6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）离散傅里叶变换的性质</w:t>
      </w:r>
    </w:p>
    <w:p w14:paraId="6D9DCA30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7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）圆周卷积的定义及计算</w:t>
      </w:r>
    </w:p>
    <w:p w14:paraId="596272E5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8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）离散傅里叶变换的对称关系</w:t>
      </w:r>
    </w:p>
    <w:p w14:paraId="30DEA4EB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9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）离散傅里叶变换计算线性卷积</w:t>
      </w:r>
    </w:p>
    <w:p w14:paraId="68698A29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0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）离散时间LTI系统的频域分析</w:t>
      </w:r>
    </w:p>
    <w:p w14:paraId="33E628FA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11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）离散时间系统的频率响应</w:t>
      </w:r>
    </w:p>
    <w:p w14:paraId="1FBECFBF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）离散时间系统的传递函数：FIR、IIR、全通、零相位、最小相位、最大相位、线性相位</w:t>
      </w:r>
    </w:p>
    <w:p w14:paraId="76348C74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  <w:t>7</w:t>
      </w:r>
      <w:r>
        <w:rPr>
          <w:rFonts w:hint="eastAsia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离散时间系统的Z域分析</w:t>
      </w:r>
    </w:p>
    <w:p w14:paraId="58FD3593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（1）Z变换</w:t>
      </w:r>
    </w:p>
    <w:p w14:paraId="04FD36ED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（2）Z变换与拉普拉斯变换的关系</w:t>
      </w:r>
    </w:p>
    <w:p w14:paraId="0130D281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（3）Z变换与离散时间傅里叶变换的关系</w:t>
      </w:r>
    </w:p>
    <w:p w14:paraId="49085F60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（4）逆Z变换</w:t>
      </w:r>
    </w:p>
    <w:p w14:paraId="613FCEC6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（5）离散系统的Z域分析</w:t>
      </w:r>
    </w:p>
    <w:p w14:paraId="67EC729F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（6）系统函数</w:t>
      </w:r>
    </w:p>
    <w:p w14:paraId="74F61ECA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（7）离散系统的零、极点分析</w:t>
      </w:r>
    </w:p>
    <w:p w14:paraId="21083434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（8）离散系统的稳定性分析</w:t>
      </w:r>
    </w:p>
    <w:p w14:paraId="52C77C71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  <w:t>8</w:t>
      </w:r>
      <w:r>
        <w:rPr>
          <w:rFonts w:hint="eastAsia" w:eastAsia="方正仿宋_GBK" w:cs="方正仿宋_GBK"/>
          <w:b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数字滤波器</w:t>
      </w:r>
    </w:p>
    <w:p w14:paraId="49FDD4D1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（1）数字滤波器的结构</w:t>
      </w:r>
    </w:p>
    <w:p w14:paraId="29DA20A2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（2）IIR数字滤波器设计</w:t>
      </w:r>
    </w:p>
    <w:p w14:paraId="30229E00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（3）FIR数字滤波器设计</w:t>
      </w:r>
    </w:p>
    <w:p w14:paraId="3B1433DA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  <w:t>9</w:t>
      </w:r>
      <w:r>
        <w:rPr>
          <w:rFonts w:hint="eastAsia" w:eastAsia="方正仿宋_GBK" w:cs="方正仿宋_GBK"/>
          <w:b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数制与编码</w:t>
      </w:r>
    </w:p>
    <w:p w14:paraId="11160179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（1）数制之间的转换</w:t>
      </w:r>
    </w:p>
    <w:p w14:paraId="1443392E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（2）二-十进制编码（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BCD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码）</w:t>
      </w:r>
    </w:p>
    <w:p w14:paraId="71F5525B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（3）可靠性编码</w:t>
      </w:r>
    </w:p>
    <w:p w14:paraId="6B65532F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asci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  <w:t>0</w:t>
      </w:r>
      <w:r>
        <w:rPr>
          <w:rFonts w:hint="eastAsia" w:eastAsia="方正仿宋_GBK" w:cs="方正仿宋_GBK"/>
          <w:b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逻辑代数基础</w:t>
      </w:r>
    </w:p>
    <w:p w14:paraId="29352218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（1）逻辑代数的基本运算</w:t>
      </w:r>
    </w:p>
    <w:p w14:paraId="7669BB79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（2）逻辑代数的基本定律</w:t>
      </w:r>
    </w:p>
    <w:p w14:paraId="5149F91B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（3）逻辑代数的运算规则</w:t>
      </w:r>
    </w:p>
    <w:p w14:paraId="1DE66D3B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（4）复合逻辑和常用复合门</w:t>
      </w:r>
    </w:p>
    <w:p w14:paraId="2BF943E8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（5）逻辑代数的标准形式（最小项、标准与或式、最大项、标准或与式）</w:t>
      </w:r>
    </w:p>
    <w:p w14:paraId="14AEDC19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（6）卡诺图化简法</w:t>
      </w:r>
    </w:p>
    <w:p w14:paraId="133E6322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  <w:t>11</w:t>
      </w:r>
      <w:r>
        <w:rPr>
          <w:rFonts w:hint="eastAsia" w:eastAsia="方正仿宋_GBK" w:cs="方正仿宋_GBK"/>
          <w:b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组合逻辑电路的分析与设计</w:t>
      </w:r>
    </w:p>
    <w:p w14:paraId="5B6DBDBB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（1）组合逻辑电路的分析方法</w:t>
      </w:r>
    </w:p>
    <w:p w14:paraId="1C14997C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（2）组合逻辑电路的设计方法</w:t>
      </w:r>
    </w:p>
    <w:p w14:paraId="5D50E8C3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（3）组合逻辑电路中的竞争与冒险</w:t>
      </w:r>
    </w:p>
    <w:p w14:paraId="03FE5BF5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（4）编码器</w:t>
      </w:r>
    </w:p>
    <w:p w14:paraId="501A74AF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（5）译码器</w:t>
      </w:r>
    </w:p>
    <w:p w14:paraId="21FB3DA2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（6）数据选择器</w:t>
      </w:r>
    </w:p>
    <w:p w14:paraId="3E784472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（7）加法器</w:t>
      </w:r>
    </w:p>
    <w:p w14:paraId="26E6A607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  <w:t>12</w:t>
      </w:r>
      <w:r>
        <w:rPr>
          <w:rFonts w:hint="eastAsia" w:eastAsia="方正仿宋_GBK" w:cs="方正仿宋_GBK"/>
          <w:b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时序逻辑电路的分析与设计</w:t>
      </w:r>
    </w:p>
    <w:p w14:paraId="797C217F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（1）触发器（基本R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S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触发器、各类钟控触发器）</w:t>
      </w:r>
    </w:p>
    <w:p w14:paraId="2A1E05DD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（2）时序逻辑的功能描述</w:t>
      </w:r>
    </w:p>
    <w:p w14:paraId="5CD3CB85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（3）同步时序逻辑电路的分析方法</w:t>
      </w:r>
    </w:p>
    <w:p w14:paraId="44339E29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4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）同步时序逻辑电路的设计方法</w:t>
      </w:r>
    </w:p>
    <w:p w14:paraId="0B475381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）计数器</w:t>
      </w:r>
    </w:p>
    <w:p w14:paraId="4B2650AF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（6）寄存器</w:t>
      </w:r>
    </w:p>
    <w:p w14:paraId="27424DA2">
      <w:pPr>
        <w:pStyle w:val="4"/>
        <w:spacing w:before="0" w:beforeAutospacing="0" w:afterAutospacing="0" w:line="600" w:lineRule="exact"/>
        <w:ind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（7）序列信号发生器</w:t>
      </w:r>
    </w:p>
    <w:p w14:paraId="35A904A3">
      <w:pPr>
        <w:widowControl w:val="0"/>
        <w:spacing w:line="600" w:lineRule="exact"/>
        <w:ind w:firstLine="640" w:firstLineChars="200"/>
        <w:jc w:val="both"/>
        <w:outlineLvl w:val="9"/>
        <w:rPr>
          <w:rFonts w:asci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四、参考书目</w:t>
      </w:r>
    </w:p>
    <w:p w14:paraId="3023B151">
      <w:pPr>
        <w:pStyle w:val="4"/>
        <w:spacing w:before="0" w:beforeAutospacing="0" w:afterAutospacing="0" w:line="600" w:lineRule="exact"/>
        <w:ind w:left="0"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b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《信号与线性系统分析》（第五版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，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十五国家级规划教材），吴大正主编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，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高等教育出版社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，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20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19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年。</w:t>
      </w:r>
    </w:p>
    <w:p w14:paraId="64562A91">
      <w:pPr>
        <w:pStyle w:val="4"/>
        <w:spacing w:before="0" w:beforeAutospacing="0" w:afterAutospacing="0" w:line="600" w:lineRule="exact"/>
        <w:ind w:left="0"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b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《信号与系统》（第三版，十二五国家级规划教材）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，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郑君里主编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，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高等教育出版社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，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2011年。</w:t>
      </w:r>
    </w:p>
    <w:p w14:paraId="58ABFB14">
      <w:pPr>
        <w:pStyle w:val="4"/>
        <w:spacing w:before="0" w:beforeAutospacing="0" w:afterAutospacing="0" w:line="600" w:lineRule="exact"/>
        <w:ind w:left="0" w:firstLine="640" w:firstLineChars="200"/>
        <w:jc w:val="both"/>
        <w:rPr>
          <w:rFonts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b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Signals and Systems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（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Second Edition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）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，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Alan V.Oppenheim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，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电子工业出版社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，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2009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年。</w:t>
      </w:r>
    </w:p>
    <w:p w14:paraId="58CC1883">
      <w:pPr>
        <w:pStyle w:val="4"/>
        <w:spacing w:before="0" w:beforeAutospacing="0" w:afterAutospacing="0" w:line="600" w:lineRule="exact"/>
        <w:ind w:left="0"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  <w:t>4</w:t>
      </w:r>
      <w:r>
        <w:rPr>
          <w:rFonts w:hint="eastAsia" w:eastAsia="方正仿宋_GBK" w:cs="方正仿宋_GBK"/>
          <w:b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《数字信号处理:基于计算机的方法(第四版)(英文改编版)》，桑吉特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sym w:font="Wingdings" w:char="F09E"/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米特拉(Sanjit K. Mitra)著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，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阔永红改编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，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电子工业出版社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，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2011年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。</w:t>
      </w:r>
    </w:p>
    <w:p w14:paraId="28D54929">
      <w:pPr>
        <w:pStyle w:val="4"/>
        <w:spacing w:before="0" w:beforeAutospacing="0" w:afterAutospacing="0" w:line="600" w:lineRule="exact"/>
        <w:ind w:left="0"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hint="eastAsia" w:eastAsia="方正仿宋_GBK" w:cs="方正仿宋_GBK"/>
          <w:b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《数字信号处理—理论、算法与实现》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（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第3版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），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胡广书编著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，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清华大学出版社</w:t>
      </w:r>
      <w:r>
        <w:rPr>
          <w:rFonts w:hint="eastAsia" w:eastAsia="方正仿宋_GBK" w:cs="方正仿宋_GBK"/>
          <w:bCs w:val="0"/>
          <w:color w:val="auto"/>
          <w:kern w:val="2"/>
          <w:sz w:val="32"/>
          <w:szCs w:val="32"/>
          <w:highlight w:val="none"/>
          <w:lang w:eastAsia="zh-CN" w:bidi="ar-SA"/>
        </w:rPr>
        <w:t>，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2012年。</w:t>
      </w:r>
    </w:p>
    <w:p w14:paraId="3D081889">
      <w:pPr>
        <w:pStyle w:val="4"/>
        <w:spacing w:before="0" w:beforeAutospacing="0" w:afterAutospacing="0" w:line="600" w:lineRule="exact"/>
        <w:ind w:left="0" w:firstLine="640" w:firstLineChars="200"/>
        <w:jc w:val="both"/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  <w:t>6</w:t>
      </w:r>
      <w:r>
        <w:rPr>
          <w:rFonts w:hint="eastAsia" w:eastAsia="方正仿宋_GBK" w:cs="方正仿宋_GBK"/>
          <w:b w:val="0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《数字电子技术基础》（第三版），杨颂华主编，西安电子科技大学出版社，2</w:t>
      </w:r>
      <w:r>
        <w:rPr>
          <w:rFonts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009</w:t>
      </w:r>
      <w:r>
        <w:rPr>
          <w:rFonts w:hint="default" w:ascii="Times New Roman" w:eastAsia="方正仿宋_GBK" w:cs="方正仿宋_GBK"/>
          <w:bCs w:val="0"/>
          <w:color w:val="auto"/>
          <w:kern w:val="2"/>
          <w:sz w:val="32"/>
          <w:szCs w:val="32"/>
          <w:highlight w:val="none"/>
          <w:lang w:bidi="ar-SA"/>
        </w:rPr>
        <w:t>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1D3C6772-4AA4-4BAE-B6CA-D32986A984FC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B698FB7-B242-4F05-B3E4-2D34E7875269}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A6F1FEAE-A048-43E2-BAA9-44AC858DA6E2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197A5D0A-1263-4D64-9EA0-CDC2EE5DE3A0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5" w:fontKey="{60F0935F-50BC-4DF7-8084-9719C442229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ZWRjNGM5NGRmNGUyMDUxNzgzZGI5MjM4ZWFmZGEifQ=="/>
  </w:docVars>
  <w:rsids>
    <w:rsidRoot w:val="00EF7B4A"/>
    <w:rsid w:val="00030143"/>
    <w:rsid w:val="00032F3A"/>
    <w:rsid w:val="00035390"/>
    <w:rsid w:val="00046272"/>
    <w:rsid w:val="000C0C65"/>
    <w:rsid w:val="000C14C1"/>
    <w:rsid w:val="000F5B87"/>
    <w:rsid w:val="0012425D"/>
    <w:rsid w:val="001325DC"/>
    <w:rsid w:val="00181549"/>
    <w:rsid w:val="001B6CA2"/>
    <w:rsid w:val="001F1CCA"/>
    <w:rsid w:val="00256C45"/>
    <w:rsid w:val="002860BA"/>
    <w:rsid w:val="0029302B"/>
    <w:rsid w:val="002F25C0"/>
    <w:rsid w:val="003065D2"/>
    <w:rsid w:val="00312425"/>
    <w:rsid w:val="003816FE"/>
    <w:rsid w:val="003870BE"/>
    <w:rsid w:val="003A61F3"/>
    <w:rsid w:val="003B279F"/>
    <w:rsid w:val="003D1C46"/>
    <w:rsid w:val="003E44DD"/>
    <w:rsid w:val="003E47F3"/>
    <w:rsid w:val="004148B4"/>
    <w:rsid w:val="00427FA4"/>
    <w:rsid w:val="00433F04"/>
    <w:rsid w:val="00455EF3"/>
    <w:rsid w:val="00485421"/>
    <w:rsid w:val="00486283"/>
    <w:rsid w:val="004E416D"/>
    <w:rsid w:val="004F4691"/>
    <w:rsid w:val="004F799E"/>
    <w:rsid w:val="005137B3"/>
    <w:rsid w:val="00514940"/>
    <w:rsid w:val="005A760D"/>
    <w:rsid w:val="005C60BB"/>
    <w:rsid w:val="005E3338"/>
    <w:rsid w:val="005F256D"/>
    <w:rsid w:val="00667F39"/>
    <w:rsid w:val="006710EB"/>
    <w:rsid w:val="006732F6"/>
    <w:rsid w:val="00682810"/>
    <w:rsid w:val="006837A7"/>
    <w:rsid w:val="006A1BD1"/>
    <w:rsid w:val="006F73FC"/>
    <w:rsid w:val="00702EFD"/>
    <w:rsid w:val="007475CC"/>
    <w:rsid w:val="00762F3C"/>
    <w:rsid w:val="007A42D1"/>
    <w:rsid w:val="007F7393"/>
    <w:rsid w:val="00801436"/>
    <w:rsid w:val="00803F77"/>
    <w:rsid w:val="00807754"/>
    <w:rsid w:val="00851A38"/>
    <w:rsid w:val="008557EB"/>
    <w:rsid w:val="008571B4"/>
    <w:rsid w:val="0089795F"/>
    <w:rsid w:val="008A2B1C"/>
    <w:rsid w:val="008A2FD1"/>
    <w:rsid w:val="008C5219"/>
    <w:rsid w:val="008E38AC"/>
    <w:rsid w:val="008F4062"/>
    <w:rsid w:val="008F4D6A"/>
    <w:rsid w:val="0092332F"/>
    <w:rsid w:val="009507BD"/>
    <w:rsid w:val="00951A08"/>
    <w:rsid w:val="0098145C"/>
    <w:rsid w:val="009A12F8"/>
    <w:rsid w:val="009B4C4F"/>
    <w:rsid w:val="009B7EC0"/>
    <w:rsid w:val="009C2D43"/>
    <w:rsid w:val="009D1956"/>
    <w:rsid w:val="009E465F"/>
    <w:rsid w:val="00A4650F"/>
    <w:rsid w:val="00A465E0"/>
    <w:rsid w:val="00AA6F7F"/>
    <w:rsid w:val="00AB1F63"/>
    <w:rsid w:val="00AC0DEC"/>
    <w:rsid w:val="00AC44FA"/>
    <w:rsid w:val="00AF35AE"/>
    <w:rsid w:val="00B06D83"/>
    <w:rsid w:val="00B545C1"/>
    <w:rsid w:val="00BA6C00"/>
    <w:rsid w:val="00BD5B39"/>
    <w:rsid w:val="00BF73EC"/>
    <w:rsid w:val="00C14CEB"/>
    <w:rsid w:val="00C66B44"/>
    <w:rsid w:val="00C93366"/>
    <w:rsid w:val="00CA622B"/>
    <w:rsid w:val="00D12BE1"/>
    <w:rsid w:val="00D275AA"/>
    <w:rsid w:val="00D41347"/>
    <w:rsid w:val="00D573B0"/>
    <w:rsid w:val="00DA4FC9"/>
    <w:rsid w:val="00DD0F68"/>
    <w:rsid w:val="00E521E4"/>
    <w:rsid w:val="00E97251"/>
    <w:rsid w:val="00EE519A"/>
    <w:rsid w:val="00EF7B4A"/>
    <w:rsid w:val="00F218DC"/>
    <w:rsid w:val="00F2419F"/>
    <w:rsid w:val="00F53999"/>
    <w:rsid w:val="00F572B9"/>
    <w:rsid w:val="00F61206"/>
    <w:rsid w:val="00F80DDD"/>
    <w:rsid w:val="21AC7EFE"/>
    <w:rsid w:val="2C81726B"/>
    <w:rsid w:val="31F10A08"/>
    <w:rsid w:val="4E69271E"/>
    <w:rsid w:val="5D355750"/>
    <w:rsid w:val="65623D8A"/>
    <w:rsid w:val="6AA2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1615</Words>
  <Characters>1742</Characters>
  <Lines>68</Lines>
  <Paragraphs>109</Paragraphs>
  <TotalTime>33</TotalTime>
  <ScaleCrop>false</ScaleCrop>
  <LinksUpToDate>false</LinksUpToDate>
  <CharactersWithSpaces>1748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2022-06-13T14:29:00Z</dcterms:created>
  <dc:creator>lenovo</dc:creator>
  <cp:lastModifiedBy>澄澈</cp:lastModifiedBy>
  <dcterms:modified xsi:type="dcterms:W3CDTF">2026-08-04T14:16:15Z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F9C1445D054F465F9CDB9067AB32AB63_12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