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F77863">
      <w:pPr>
        <w:widowControl w:val="0"/>
        <w:adjustRightInd/>
        <w:snapToGrid/>
        <w:spacing w:line="600" w:lineRule="exact"/>
        <w:ind w:firstLine="0"/>
        <w:jc w:val="center"/>
        <w:outlineLvl w:val="9"/>
        <w:rPr>
          <w:rFonts w:ascii="方正小标宋_GBK" w:hAnsi="方正小标宋_GBK" w:eastAsia="方正小标宋_GBK" w:cs="方正小标宋_GBK"/>
          <w:b w:val="0"/>
          <w:bCs w:val="0"/>
          <w:color w:val="auto"/>
          <w:kern w:val="2"/>
          <w:sz w:val="44"/>
          <w:szCs w:val="52"/>
          <w:highlight w:val="none"/>
        </w:rPr>
      </w:pPr>
      <w:bookmarkStart w:id="0" w:name="_GoBack"/>
      <w:r>
        <w:rPr>
          <w:rFonts w:hint="default" w:ascii="方正小标宋_GBK" w:hAnsi="方正小标宋_GBK" w:eastAsia="方正小标宋_GBK" w:cs="方正小标宋_GBK"/>
          <w:b w:val="0"/>
          <w:bCs w:val="0"/>
          <w:color w:val="auto"/>
          <w:kern w:val="2"/>
          <w:sz w:val="44"/>
          <w:szCs w:val="52"/>
          <w:highlight w:val="none"/>
        </w:rPr>
        <w:t>《会计专业知识》考试大纲</w:t>
      </w:r>
    </w:p>
    <w:bookmarkEnd w:id="0"/>
    <w:p w14:paraId="304CCF4E">
      <w:pPr>
        <w:widowControl w:val="0"/>
        <w:adjustRightInd/>
        <w:snapToGrid/>
        <w:spacing w:line="600" w:lineRule="exact"/>
        <w:ind w:firstLine="640" w:firstLineChars="200"/>
        <w:jc w:val="both"/>
        <w:outlineLvl w:val="9"/>
        <w:rPr>
          <w:rFonts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</w:rPr>
      </w:pPr>
      <w:r>
        <w:rPr>
          <w:rFonts w:hint="default"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</w:rPr>
        <w:t>一、考试性质</w:t>
      </w:r>
    </w:p>
    <w:p w14:paraId="0262BA3A">
      <w:pPr>
        <w:pStyle w:val="4"/>
        <w:widowControl w:val="0"/>
        <w:adjustRightInd/>
        <w:snapToGrid/>
        <w:spacing w:before="0" w:beforeAutospacing="0" w:after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《会计专业知识》是会计专业学位硕士研究生入学复试的专业课考试的科目。考试范围涵盖《财务会计》、《财务管理》和《成本与管理会计》，涉及面较广，主要注重对考生专业基础知识、专业基本要求的考核。本大纲仅供考生在复试阶段专业课笔试时参考。</w:t>
      </w:r>
    </w:p>
    <w:p w14:paraId="34CEFA28">
      <w:pPr>
        <w:widowControl w:val="0"/>
        <w:adjustRightInd/>
        <w:snapToGrid/>
        <w:spacing w:line="600" w:lineRule="exact"/>
        <w:ind w:firstLine="640" w:firstLineChars="200"/>
        <w:jc w:val="both"/>
        <w:outlineLvl w:val="9"/>
        <w:rPr>
          <w:rFonts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</w:rPr>
      </w:pPr>
      <w:r>
        <w:rPr>
          <w:rFonts w:hint="default"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</w:rPr>
        <w:t>二、考试要求</w:t>
      </w:r>
    </w:p>
    <w:p w14:paraId="44B4D399">
      <w:pPr>
        <w:pStyle w:val="4"/>
        <w:widowControl w:val="0"/>
        <w:adjustRightInd/>
        <w:snapToGrid/>
        <w:spacing w:before="0" w:beforeAutospacing="0" w:after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要求考生初步但较为全面地掌握会计专业知识的基本概念、基本理论和基本技能，具备较强的分析与解决实际问题的能力。</w:t>
      </w:r>
    </w:p>
    <w:p w14:paraId="0A85209C">
      <w:pPr>
        <w:widowControl w:val="0"/>
        <w:adjustRightInd/>
        <w:snapToGrid/>
        <w:spacing w:line="600" w:lineRule="exact"/>
        <w:ind w:firstLine="640" w:firstLineChars="200"/>
        <w:jc w:val="both"/>
        <w:outlineLvl w:val="9"/>
        <w:rPr>
          <w:rFonts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</w:rPr>
      </w:pPr>
      <w:r>
        <w:rPr>
          <w:rFonts w:hint="default"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</w:rPr>
        <w:t>三、考试形式</w:t>
      </w:r>
    </w:p>
    <w:p w14:paraId="65E67962">
      <w:pPr>
        <w:pStyle w:val="4"/>
        <w:widowControl w:val="0"/>
        <w:adjustRightInd/>
        <w:snapToGrid/>
        <w:spacing w:before="0" w:beforeAutospacing="0" w:after="0" w:afterAutospacing="0" w:line="600" w:lineRule="exact"/>
        <w:ind w:firstLine="640"/>
        <w:jc w:val="both"/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答卷方式：笔试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/>
        </w:rPr>
        <w:t>。</w:t>
      </w:r>
    </w:p>
    <w:p w14:paraId="594B6BD6">
      <w:pPr>
        <w:widowControl w:val="0"/>
        <w:adjustRightInd/>
        <w:snapToGrid/>
        <w:spacing w:line="600" w:lineRule="exact"/>
        <w:ind w:firstLine="640" w:firstLineChars="200"/>
        <w:jc w:val="both"/>
        <w:outlineLvl w:val="9"/>
        <w:rPr>
          <w:rFonts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</w:rPr>
      </w:pPr>
      <w:r>
        <w:rPr>
          <w:rFonts w:hint="default"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</w:rPr>
        <w:t>四、考试内容</w:t>
      </w:r>
    </w:p>
    <w:p w14:paraId="767AA558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第一部分财务会计</w:t>
      </w:r>
    </w:p>
    <w:p w14:paraId="0230AB29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第一章总论</w:t>
      </w:r>
    </w:p>
    <w:p w14:paraId="066C8D67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第一节财务会计报告的目标</w:t>
      </w:r>
    </w:p>
    <w:p w14:paraId="183AF081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第二节会计基本假设与会计基础</w:t>
      </w:r>
    </w:p>
    <w:p w14:paraId="226C942E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第三节会计信息质量要求</w:t>
      </w:r>
    </w:p>
    <w:p w14:paraId="0A3887E4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第四节会计要素及其确认与计量</w:t>
      </w:r>
    </w:p>
    <w:p w14:paraId="07B57D3E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第五节财务会计报告的组成</w:t>
      </w:r>
    </w:p>
    <w:p w14:paraId="27003151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第二章金融资产</w:t>
      </w:r>
    </w:p>
    <w:p w14:paraId="2EC9F423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第一节金融资产的分类</w:t>
      </w:r>
    </w:p>
    <w:p w14:paraId="2D3FDC2F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第二节以摊余成本计量的金融资产</w:t>
      </w:r>
    </w:p>
    <w:p w14:paraId="3E111F46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第三节以公允价值计量且其变动计入其他综合收益的金融资产</w:t>
      </w:r>
    </w:p>
    <w:p w14:paraId="54D34C72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第四节以公允价值计量且其变动计入当期损益的金融资产</w:t>
      </w:r>
    </w:p>
    <w:p w14:paraId="0D16B08D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第三章存货</w:t>
      </w:r>
    </w:p>
    <w:p w14:paraId="4B4B257F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第一节存货的确认和初始计量</w:t>
      </w:r>
    </w:p>
    <w:p w14:paraId="02E84B1F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第二节发出存货成本的计量</w:t>
      </w:r>
    </w:p>
    <w:p w14:paraId="6E70F175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第三节期末存货的计量</w:t>
      </w:r>
    </w:p>
    <w:p w14:paraId="50509781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第四章长期股权投资</w:t>
      </w:r>
    </w:p>
    <w:p w14:paraId="04D4783B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第一节长期股权投资的确认和初始计量</w:t>
      </w:r>
    </w:p>
    <w:p w14:paraId="0814EEDB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第二节长期股权投资的后续计量</w:t>
      </w:r>
    </w:p>
    <w:p w14:paraId="7782249F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第五章固定资产</w:t>
      </w:r>
    </w:p>
    <w:p w14:paraId="360E52B8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第一节固定资产的确认和初始计量</w:t>
      </w:r>
    </w:p>
    <w:p w14:paraId="5165F05C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第二节固定资产的后续计量</w:t>
      </w:r>
    </w:p>
    <w:p w14:paraId="08507A42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第三节固定资产的处置</w:t>
      </w:r>
    </w:p>
    <w:p w14:paraId="6317977D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第六章无形资产</w:t>
      </w:r>
    </w:p>
    <w:p w14:paraId="5C845292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第一节无形资产的确认和初始计量</w:t>
      </w:r>
    </w:p>
    <w:p w14:paraId="6ADD960B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第二节内部研究与开发支出的确认和计量</w:t>
      </w:r>
    </w:p>
    <w:p w14:paraId="3263E164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第三节无形资产的后续计量</w:t>
      </w:r>
    </w:p>
    <w:p w14:paraId="46B8190A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第四节无形资产的处置</w:t>
      </w:r>
    </w:p>
    <w:p w14:paraId="1CF89C1B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第七章负债</w:t>
      </w:r>
    </w:p>
    <w:p w14:paraId="78C88481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第一节流动负债</w:t>
      </w:r>
    </w:p>
    <w:p w14:paraId="6B5A53F5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第二节非流动负债</w:t>
      </w:r>
    </w:p>
    <w:p w14:paraId="4DF5D745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第八章所有者权益</w:t>
      </w:r>
    </w:p>
    <w:p w14:paraId="4C6A36FC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第一节实收资本（股本）</w:t>
      </w:r>
    </w:p>
    <w:p w14:paraId="7BC0EBB1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第二节资本公积</w:t>
      </w:r>
    </w:p>
    <w:p w14:paraId="21A1FED3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第三节其他综合收益</w:t>
      </w:r>
    </w:p>
    <w:p w14:paraId="1CE16319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第四节留存收益</w:t>
      </w:r>
    </w:p>
    <w:p w14:paraId="1FA81775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第九章收入、费用和利润</w:t>
      </w:r>
    </w:p>
    <w:p w14:paraId="532C56C4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第一节收入</w:t>
      </w:r>
    </w:p>
    <w:p w14:paraId="39E77985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第二节费用</w:t>
      </w:r>
    </w:p>
    <w:p w14:paraId="4BD9FD99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第三节直接计入当期利润的利得</w:t>
      </w:r>
    </w:p>
    <w:p w14:paraId="66AC8944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第四节直接计入当期利润的损失</w:t>
      </w:r>
    </w:p>
    <w:p w14:paraId="62151846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第五节利润</w:t>
      </w:r>
    </w:p>
    <w:p w14:paraId="0315324F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第十章财务报告</w:t>
      </w:r>
    </w:p>
    <w:p w14:paraId="2B240176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第一节财务报告概述</w:t>
      </w:r>
    </w:p>
    <w:p w14:paraId="289FCBD0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第二节资产负债表</w:t>
      </w:r>
    </w:p>
    <w:p w14:paraId="719B9668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第三节利润表</w:t>
      </w:r>
    </w:p>
    <w:p w14:paraId="4FC30C39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第四节现金流量表</w:t>
      </w:r>
    </w:p>
    <w:p w14:paraId="1EE58170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第五节所有者权益变动表</w:t>
      </w:r>
    </w:p>
    <w:p w14:paraId="3DB3A9A1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第六节附注</w:t>
      </w:r>
    </w:p>
    <w:p w14:paraId="11CDD894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第十一章或有事项</w:t>
      </w:r>
    </w:p>
    <w:p w14:paraId="5A521566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第一节或有事项概述</w:t>
      </w:r>
    </w:p>
    <w:p w14:paraId="3618E0CA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第二节或有事项的确认和计量</w:t>
      </w:r>
    </w:p>
    <w:p w14:paraId="0FB1BA4B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第三节或有事项的列报</w:t>
      </w:r>
    </w:p>
    <w:p w14:paraId="742B0B2B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第十二章资产负债表日后事项</w:t>
      </w:r>
    </w:p>
    <w:p w14:paraId="0C4612D2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第一节资产负债表日后事项概述</w:t>
      </w:r>
    </w:p>
    <w:p w14:paraId="7695FD58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第二节调整事项的会计处理</w:t>
      </w:r>
    </w:p>
    <w:p w14:paraId="4428A2D6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第三节非调整事项的会计处理</w:t>
      </w:r>
    </w:p>
    <w:p w14:paraId="1BB224D5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第十三章会计政策、会计估计变更和差错更正</w:t>
      </w:r>
    </w:p>
    <w:p w14:paraId="50AB3ABF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第一节会计政策及其变更</w:t>
      </w:r>
    </w:p>
    <w:p w14:paraId="17938D3F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第二节会计估计及其变更</w:t>
      </w:r>
    </w:p>
    <w:p w14:paraId="58CB667F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第三节前期差错及其更正</w:t>
      </w:r>
    </w:p>
    <w:p w14:paraId="389ED26E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第二部分财务管理</w:t>
      </w:r>
    </w:p>
    <w:p w14:paraId="72D8FC6D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第一章总论</w:t>
      </w:r>
    </w:p>
    <w:p w14:paraId="29174DF9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第一节财务管理的概念</w:t>
      </w:r>
    </w:p>
    <w:p w14:paraId="02C9C5CD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第二节财务管理的目标</w:t>
      </w:r>
    </w:p>
    <w:p w14:paraId="4DBFBB86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第三节财务管理的环境</w:t>
      </w:r>
    </w:p>
    <w:p w14:paraId="025C5194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第二章财务估值的基础</w:t>
      </w:r>
    </w:p>
    <w:p w14:paraId="13D7A292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第一节货币时间价值</w:t>
      </w:r>
    </w:p>
    <w:p w14:paraId="524CD9FE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第二节风险和收益</w:t>
      </w:r>
    </w:p>
    <w:p w14:paraId="39C4F6D7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第三节证券估值</w:t>
      </w:r>
    </w:p>
    <w:p w14:paraId="37F0458A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第三章财务分析</w:t>
      </w:r>
    </w:p>
    <w:p w14:paraId="25268A65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第一节偿债能力分析</w:t>
      </w:r>
    </w:p>
    <w:p w14:paraId="03E9C280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第二节营运能力分析</w:t>
      </w:r>
    </w:p>
    <w:p w14:paraId="5D60B1FD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第三节获利能力分析</w:t>
      </w:r>
    </w:p>
    <w:p w14:paraId="0A4D1CF8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第四节发展能力分析</w:t>
      </w:r>
    </w:p>
    <w:p w14:paraId="19892A11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第五节综合财务分析</w:t>
      </w:r>
    </w:p>
    <w:p w14:paraId="7F1F24CC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第四章长期筹资决策</w:t>
      </w:r>
    </w:p>
    <w:p w14:paraId="797E8476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第一节资本成本</w:t>
      </w:r>
    </w:p>
    <w:p w14:paraId="42D29944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第二节资本结构</w:t>
      </w:r>
    </w:p>
    <w:p w14:paraId="03AF4B23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第三节普通股筹资</w:t>
      </w:r>
    </w:p>
    <w:p w14:paraId="31CC5F7B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第四节长期负债筹资</w:t>
      </w:r>
    </w:p>
    <w:p w14:paraId="17D0A370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第五章投资决策</w:t>
      </w:r>
    </w:p>
    <w:p w14:paraId="47D21292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第一节投资的概念</w:t>
      </w:r>
    </w:p>
    <w:p w14:paraId="28ECD656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第二节投资的现金流量分析</w:t>
      </w:r>
    </w:p>
    <w:p w14:paraId="6F3E3B4B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第三节投资决策评价指标及其计算</w:t>
      </w:r>
    </w:p>
    <w:p w14:paraId="47F22EDB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第六章营运资本管理</w:t>
      </w:r>
    </w:p>
    <w:p w14:paraId="34743958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第一节短期资产管理</w:t>
      </w:r>
    </w:p>
    <w:p w14:paraId="38E89D56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第二节短期筹资管理</w:t>
      </w:r>
    </w:p>
    <w:p w14:paraId="5ABA4203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第七章股利分配</w:t>
      </w:r>
    </w:p>
    <w:p w14:paraId="70D90D77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第一节利润分配概述</w:t>
      </w:r>
    </w:p>
    <w:p w14:paraId="7E18A2E5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第二节股利支付的程序和方式</w:t>
      </w:r>
    </w:p>
    <w:p w14:paraId="474DFA72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第三节股利理论与股利分配政策</w:t>
      </w:r>
    </w:p>
    <w:p w14:paraId="7F0C468F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第三部分成本与管理会计</w:t>
      </w:r>
    </w:p>
    <w:p w14:paraId="2A09FA8A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第一章总论</w:t>
      </w:r>
    </w:p>
    <w:p w14:paraId="2EFAB254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第一节管理会计与财务会计的区别与联系</w:t>
      </w:r>
    </w:p>
    <w:p w14:paraId="6DF22F81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第二节成本的概念和分类</w:t>
      </w:r>
    </w:p>
    <w:p w14:paraId="44E1F6BD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第二章产品成本核算方法</w:t>
      </w:r>
    </w:p>
    <w:p w14:paraId="14F992AD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第一节产品成本计算概述</w:t>
      </w:r>
    </w:p>
    <w:p w14:paraId="7F8D93B0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第二节成本的归集与分配</w:t>
      </w:r>
    </w:p>
    <w:p w14:paraId="15085BDD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第三节产品成本计算的品种法</w:t>
      </w:r>
    </w:p>
    <w:p w14:paraId="3E70CB9F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第四节产品成本计算的分批法</w:t>
      </w:r>
    </w:p>
    <w:p w14:paraId="5166BEDA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第五节产品成本计算的分步法</w:t>
      </w:r>
    </w:p>
    <w:p w14:paraId="6069B5B3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第六节作业成本法</w:t>
      </w:r>
    </w:p>
    <w:p w14:paraId="68C5AA56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第三章成本分析与成本管理</w:t>
      </w:r>
    </w:p>
    <w:p w14:paraId="73991F29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第一节成本性态分析</w:t>
      </w:r>
    </w:p>
    <w:p w14:paraId="132306D4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第二节变动成本法</w:t>
      </w:r>
    </w:p>
    <w:p w14:paraId="185E4F79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第三节成本管理方法</w:t>
      </w:r>
    </w:p>
    <w:p w14:paraId="7DB5AD64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第四章经营决策分析</w:t>
      </w:r>
    </w:p>
    <w:p w14:paraId="7E9CBAE5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第一节经营决策分析的基本方法</w:t>
      </w:r>
    </w:p>
    <w:p w14:paraId="080732B6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第二节本量利分析</w:t>
      </w:r>
    </w:p>
    <w:p w14:paraId="57B2EDDE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第三节经营决策中的成本概念运用</w:t>
      </w:r>
    </w:p>
    <w:p w14:paraId="55A62752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第四节经营决策中的生产组织与外包</w:t>
      </w:r>
    </w:p>
    <w:p w14:paraId="7CEDBB46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第五节经营决策中的产能利用与存货</w:t>
      </w:r>
    </w:p>
    <w:p w14:paraId="0BD106AD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第五章全面预算管理</w:t>
      </w:r>
    </w:p>
    <w:p w14:paraId="6F8D668B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第一节全面预算概述</w:t>
      </w:r>
    </w:p>
    <w:p w14:paraId="319EA167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第二节全面预算的类型与编制方法</w:t>
      </w:r>
    </w:p>
    <w:p w14:paraId="7D2973C6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第三节营业预算的编制</w:t>
      </w:r>
    </w:p>
    <w:p w14:paraId="30B6B340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第四节财务预算的编制</w:t>
      </w:r>
    </w:p>
    <w:p w14:paraId="4DD39112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第五节预算实施与管理</w:t>
      </w:r>
    </w:p>
    <w:p w14:paraId="09000AF1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第六节预算结果的考评与反馈</w:t>
      </w:r>
    </w:p>
    <w:p w14:paraId="20A1E829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第六章责任会计</w:t>
      </w:r>
    </w:p>
    <w:p w14:paraId="50967CD1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第一节责任会计概述</w:t>
      </w:r>
    </w:p>
    <w:p w14:paraId="72B077E8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第二节责任中心的类型与基本原则</w:t>
      </w:r>
    </w:p>
    <w:p w14:paraId="5BFC4DFC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第三节责任会计的职能</w:t>
      </w:r>
    </w:p>
    <w:p w14:paraId="39AE4C0C">
      <w:pPr>
        <w:pStyle w:val="4"/>
        <w:widowControl w:val="0"/>
        <w:adjustRightInd/>
        <w:snapToGrid/>
        <w:spacing w:before="0" w:beforeAutospacing="0" w:after="0" w:afterAutospacing="0" w:line="600" w:lineRule="exact"/>
        <w:ind w:left="0"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第四节责任会计体系与部门绩效考核</w:t>
      </w:r>
    </w:p>
    <w:p w14:paraId="6D6C5D71">
      <w:pPr>
        <w:pStyle w:val="4"/>
        <w:widowControl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</w:p>
    <w:sectPr>
      <w:footerReference r:id="rId3" w:type="default"/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5FF98EC5-FA53-477B-BADF-A0B142C94F4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169120B0-6EEB-4164-96E0-A0D79B6E8828}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3" w:fontKey="{802E82C7-F2C7-4AA7-8D48-AA7372A0563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0D7A70">
    <w:pPr>
      <w:pStyle w:val="2"/>
      <w:jc w:val="lef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E4ZWRjNGM5NGRmNGUyMDUxNzgzZGI5MjM4ZWFmZGEifQ=="/>
  </w:docVars>
  <w:rsids>
    <w:rsidRoot w:val="00C07ED6"/>
    <w:rsid w:val="00030AEB"/>
    <w:rsid w:val="000949CD"/>
    <w:rsid w:val="000B300D"/>
    <w:rsid w:val="00133A66"/>
    <w:rsid w:val="002A2B27"/>
    <w:rsid w:val="00303905"/>
    <w:rsid w:val="00350490"/>
    <w:rsid w:val="004D597F"/>
    <w:rsid w:val="005679DB"/>
    <w:rsid w:val="00667AF2"/>
    <w:rsid w:val="0067197D"/>
    <w:rsid w:val="00782CD8"/>
    <w:rsid w:val="007C41F2"/>
    <w:rsid w:val="00823E12"/>
    <w:rsid w:val="00835B61"/>
    <w:rsid w:val="00876F01"/>
    <w:rsid w:val="00894849"/>
    <w:rsid w:val="00967480"/>
    <w:rsid w:val="00A77719"/>
    <w:rsid w:val="00A82FCF"/>
    <w:rsid w:val="00AC4244"/>
    <w:rsid w:val="00AD7F59"/>
    <w:rsid w:val="00BF6AD5"/>
    <w:rsid w:val="00C05992"/>
    <w:rsid w:val="00C07ED6"/>
    <w:rsid w:val="00C1398A"/>
    <w:rsid w:val="00FF49B5"/>
    <w:rsid w:val="2091762F"/>
    <w:rsid w:val="25A26B64"/>
    <w:rsid w:val="2CE25C3A"/>
    <w:rsid w:val="4F803ABF"/>
    <w:rsid w:val="7AAE3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1528</Words>
  <Characters>1528</Characters>
  <Lines>11</Lines>
  <Paragraphs>3</Paragraphs>
  <TotalTime>19</TotalTime>
  <ScaleCrop>false</ScaleCrop>
  <LinksUpToDate>false</LinksUpToDate>
  <CharactersWithSpaces>1528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2021-09-08T06:15:00Z</dcterms:created>
  <dc:creator>WangJK</dc:creator>
  <cp:lastModifiedBy>澄澈</cp:lastModifiedBy>
  <dcterms:modified xsi:type="dcterms:W3CDTF">2026-08-04T12:55:24Z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7884078693A343798CBFD5552E1A24E3</vt:lpwstr>
  </property>
  <property fmtid="{D5CDD505-2E9C-101B-9397-08002B2CF9AE}" pid="4" name="KSOTemplateDocerSaveRecord">
    <vt:lpwstr>eyJoZGlkIjoiMDRkNzk5ODkxNzIxNmZhOGM3YmMyZjc2ZGQ4ZGE5ODEiLCJ1c2VySWQiOiIzMTM2MDkwOTcifQ==</vt:lpwstr>
  </property>
</Properties>
</file>